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E4" w:rsidRPr="00DE6BE4" w:rsidRDefault="00DE6BE4" w:rsidP="00DE6BE4">
      <w:pPr>
        <w:spacing w:after="0" w:line="240" w:lineRule="auto"/>
        <w:jc w:val="both"/>
        <w:rPr>
          <w:rFonts w:ascii="Times New Roman" w:hAnsi="Times New Roman" w:cs="Times New Roman"/>
          <w:bCs/>
          <w:sz w:val="24"/>
          <w:szCs w:val="28"/>
        </w:rPr>
      </w:pPr>
      <w:r w:rsidRPr="00DE6BE4">
        <w:rPr>
          <w:rFonts w:ascii="Times New Roman" w:hAnsi="Times New Roman" w:cs="Times New Roman"/>
          <w:bCs/>
          <w:sz w:val="24"/>
          <w:szCs w:val="28"/>
        </w:rPr>
        <w:t xml:space="preserve">Bilindiği üzere Yeni YÖK olarak hayata geçirdiğimiz ve en fazla önem verdiğimiz ana projelerimizden birisi üniversitelerimizin ihtisaslaşması konusudur. Bu yolda önemli mesafeler kat ettiğimiz görülmektedir. Elbette bu konunun bir ayağı nasıl ihtisaslaşan üniversitelerimizin belirlenmesi ise diğer ayağı da ihtisas alanlarının belirlenmesidir. </w:t>
      </w:r>
    </w:p>
    <w:p w:rsidR="00DE6BE4" w:rsidRDefault="00DE6BE4" w:rsidP="00DE6BE4">
      <w:pPr>
        <w:spacing w:after="0" w:line="240" w:lineRule="auto"/>
        <w:jc w:val="both"/>
        <w:rPr>
          <w:rFonts w:ascii="Times New Roman" w:hAnsi="Times New Roman" w:cs="Times New Roman"/>
          <w:bCs/>
          <w:sz w:val="24"/>
          <w:szCs w:val="28"/>
        </w:rPr>
      </w:pPr>
    </w:p>
    <w:p w:rsidR="00DE6BE4" w:rsidRPr="00DE6BE4" w:rsidRDefault="00DE6BE4" w:rsidP="00DE6BE4">
      <w:pPr>
        <w:spacing w:after="0" w:line="240" w:lineRule="auto"/>
        <w:jc w:val="both"/>
        <w:rPr>
          <w:rFonts w:ascii="Times New Roman" w:hAnsi="Times New Roman" w:cs="Times New Roman"/>
          <w:bCs/>
          <w:sz w:val="24"/>
          <w:szCs w:val="28"/>
        </w:rPr>
      </w:pPr>
      <w:r w:rsidRPr="00DE6BE4">
        <w:rPr>
          <w:rFonts w:ascii="Times New Roman" w:hAnsi="Times New Roman" w:cs="Times New Roman"/>
          <w:bCs/>
          <w:sz w:val="24"/>
          <w:szCs w:val="28"/>
        </w:rPr>
        <w:t xml:space="preserve">Burada iki nokta öne çıkar. Birincisi bu ihtisas alanlarının ülkemizin kalkınma planları doğrultusunda yer alan hedefleri ve bilim hayatımızın öncelikleri dikkate alınarak oluşturulması. Diğer önemli nokta da belirlenen üniversitelerimizin bu öncelikli alanlardaki yetkinlikleridir. </w:t>
      </w:r>
    </w:p>
    <w:p w:rsidR="00DE6BE4" w:rsidRDefault="00DE6BE4" w:rsidP="00DE6BE4">
      <w:pPr>
        <w:spacing w:after="0" w:line="240" w:lineRule="auto"/>
        <w:jc w:val="both"/>
        <w:rPr>
          <w:rFonts w:ascii="Times New Roman" w:hAnsi="Times New Roman" w:cs="Times New Roman"/>
          <w:bCs/>
          <w:sz w:val="24"/>
          <w:szCs w:val="28"/>
        </w:rPr>
      </w:pPr>
    </w:p>
    <w:p w:rsidR="00DE6BE4" w:rsidRPr="00DE6BE4" w:rsidRDefault="00DE6BE4" w:rsidP="00DE6BE4">
      <w:pPr>
        <w:spacing w:after="0" w:line="240" w:lineRule="auto"/>
        <w:jc w:val="both"/>
        <w:rPr>
          <w:rFonts w:ascii="Times New Roman" w:hAnsi="Times New Roman" w:cs="Times New Roman"/>
          <w:bCs/>
          <w:sz w:val="24"/>
          <w:szCs w:val="28"/>
        </w:rPr>
      </w:pPr>
      <w:r w:rsidRPr="00DE6BE4">
        <w:rPr>
          <w:rFonts w:ascii="Times New Roman" w:hAnsi="Times New Roman" w:cs="Times New Roman"/>
          <w:bCs/>
          <w:sz w:val="24"/>
          <w:szCs w:val="28"/>
        </w:rPr>
        <w:t xml:space="preserve">YÖK olarak, her işte yöntemin de hedefler kadar önemli olduğuna inanıyoruz. Bunun için bu ve benzeri tüm belirleme ve destekleme faaliyetlerimizde liyakat ve ehliyeti bir düstur ve en önemli faktör olarak belirledik. </w:t>
      </w:r>
    </w:p>
    <w:p w:rsidR="00DE6BE4" w:rsidRDefault="00DE6BE4" w:rsidP="00DE6BE4">
      <w:pPr>
        <w:spacing w:after="0" w:line="240" w:lineRule="auto"/>
        <w:jc w:val="both"/>
        <w:rPr>
          <w:rFonts w:ascii="Times New Roman" w:hAnsi="Times New Roman" w:cs="Times New Roman"/>
          <w:bCs/>
          <w:sz w:val="24"/>
          <w:szCs w:val="28"/>
        </w:rPr>
      </w:pPr>
    </w:p>
    <w:p w:rsidR="00DE6BE4" w:rsidRPr="00DE6BE4" w:rsidRDefault="00DE6BE4" w:rsidP="00DE6BE4">
      <w:pPr>
        <w:spacing w:after="0" w:line="240" w:lineRule="auto"/>
        <w:jc w:val="both"/>
        <w:rPr>
          <w:rFonts w:ascii="Times New Roman" w:hAnsi="Times New Roman" w:cs="Times New Roman"/>
          <w:bCs/>
          <w:sz w:val="24"/>
          <w:szCs w:val="28"/>
        </w:rPr>
      </w:pPr>
      <w:r w:rsidRPr="00DE6BE4">
        <w:rPr>
          <w:rFonts w:ascii="Times New Roman" w:hAnsi="Times New Roman" w:cs="Times New Roman"/>
          <w:bCs/>
          <w:sz w:val="24"/>
          <w:szCs w:val="28"/>
        </w:rPr>
        <w:t xml:space="preserve">Bugünkü toplantımızın konusu olan kalkınma planındaki öncelikli sektörler ile araştırma üniversitelerinin eşleştirilmesinde de aynı yöntemi izledik. </w:t>
      </w:r>
    </w:p>
    <w:p w:rsidR="00DE6BE4" w:rsidRPr="00DE6BE4" w:rsidRDefault="00DE6BE4" w:rsidP="00DE6BE4">
      <w:pPr>
        <w:spacing w:after="0" w:line="240" w:lineRule="auto"/>
        <w:jc w:val="both"/>
        <w:rPr>
          <w:rFonts w:ascii="Times New Roman" w:hAnsi="Times New Roman" w:cs="Times New Roman"/>
          <w:bCs/>
          <w:sz w:val="24"/>
          <w:szCs w:val="28"/>
        </w:rPr>
      </w:pPr>
      <w:r w:rsidRPr="00DE6BE4">
        <w:rPr>
          <w:rFonts w:ascii="Times New Roman" w:hAnsi="Times New Roman" w:cs="Times New Roman"/>
          <w:bCs/>
          <w:sz w:val="24"/>
          <w:szCs w:val="28"/>
        </w:rPr>
        <w:t xml:space="preserve">Bildiğiniz gibi On Birinci Kalkınma Planında yer alan tedbirde </w:t>
      </w:r>
    </w:p>
    <w:p w:rsidR="00DE6BE4" w:rsidRDefault="00DE6BE4" w:rsidP="00DE6BE4">
      <w:pPr>
        <w:pStyle w:val="ListeParagraf"/>
        <w:spacing w:after="0" w:line="240" w:lineRule="auto"/>
        <w:ind w:left="0"/>
        <w:jc w:val="both"/>
        <w:rPr>
          <w:rFonts w:ascii="Times New Roman" w:hAnsi="Times New Roman" w:cs="Times New Roman"/>
          <w:bCs/>
          <w:i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iCs/>
          <w:sz w:val="24"/>
          <w:szCs w:val="28"/>
        </w:rPr>
      </w:pPr>
      <w:r w:rsidRPr="00DE6BE4">
        <w:rPr>
          <w:rFonts w:ascii="Times New Roman" w:hAnsi="Times New Roman" w:cs="Times New Roman"/>
          <w:bCs/>
          <w:iCs/>
          <w:sz w:val="24"/>
          <w:szCs w:val="28"/>
        </w:rPr>
        <w:t xml:space="preserve">“Araştırma üniversiteleri yetkinlikleri dikkate alınarak öncelikli sektörlerle eşleştirilecek, belirlenen hedeflere ulaşmak için oluşturulan projelere dayalı iş modelleri uygulamaya konulacak ve bu </w:t>
      </w:r>
      <w:proofErr w:type="gramStart"/>
      <w:r w:rsidRPr="00DE6BE4">
        <w:rPr>
          <w:rFonts w:ascii="Times New Roman" w:hAnsi="Times New Roman" w:cs="Times New Roman"/>
          <w:bCs/>
          <w:iCs/>
          <w:sz w:val="24"/>
          <w:szCs w:val="28"/>
        </w:rPr>
        <w:t>işbirlikleri</w:t>
      </w:r>
      <w:proofErr w:type="gramEnd"/>
      <w:r w:rsidRPr="00DE6BE4">
        <w:rPr>
          <w:rFonts w:ascii="Times New Roman" w:hAnsi="Times New Roman" w:cs="Times New Roman"/>
          <w:bCs/>
          <w:iCs/>
          <w:sz w:val="24"/>
          <w:szCs w:val="28"/>
        </w:rPr>
        <w:t xml:space="preserve"> desteklenecektir.”</w:t>
      </w:r>
    </w:p>
    <w:p w:rsidR="00DE6BE4" w:rsidRPr="00DE6BE4" w:rsidRDefault="00DE6BE4" w:rsidP="00DE6BE4">
      <w:pPr>
        <w:pStyle w:val="ListeParagraf"/>
        <w:spacing w:after="0" w:line="240" w:lineRule="auto"/>
        <w:ind w:left="0"/>
        <w:jc w:val="both"/>
        <w:rPr>
          <w:rFonts w:ascii="Times New Roman" w:hAnsi="Times New Roman" w:cs="Times New Roman"/>
          <w:bCs/>
          <w:iCs/>
          <w:sz w:val="24"/>
          <w:szCs w:val="28"/>
        </w:rPr>
      </w:pPr>
      <w:proofErr w:type="gramStart"/>
      <w:r w:rsidRPr="00DE6BE4">
        <w:rPr>
          <w:rFonts w:ascii="Times New Roman" w:hAnsi="Times New Roman" w:cs="Times New Roman"/>
          <w:bCs/>
          <w:iCs/>
          <w:sz w:val="24"/>
          <w:szCs w:val="28"/>
        </w:rPr>
        <w:t>hedefi</w:t>
      </w:r>
      <w:proofErr w:type="gramEnd"/>
      <w:r w:rsidRPr="00DE6BE4">
        <w:rPr>
          <w:rFonts w:ascii="Times New Roman" w:hAnsi="Times New Roman" w:cs="Times New Roman"/>
          <w:bCs/>
          <w:iCs/>
          <w:sz w:val="24"/>
          <w:szCs w:val="28"/>
        </w:rPr>
        <w:t xml:space="preserve"> bulunmakta idi. Bu sektörler: Kimya, ilaç, tıbbi cihaz, elektronik, makine-elektrikli teçhizat, otomotiv, raylı sistem araçları ve gıda arzı güvenliği sektörleri idi. Elbette bunların da alt alanları vardı ve bunlar da tarafımızca belirlendi.</w:t>
      </w:r>
    </w:p>
    <w:p w:rsidR="00DE6BE4" w:rsidRPr="00DE6BE4" w:rsidRDefault="00DE6BE4" w:rsidP="00DE6BE4">
      <w:pPr>
        <w:pStyle w:val="ListeParagraf"/>
        <w:spacing w:after="0" w:line="240" w:lineRule="auto"/>
        <w:ind w:left="0" w:firstLine="709"/>
        <w:jc w:val="both"/>
        <w:rPr>
          <w:rFonts w:ascii="Times New Roman" w:hAnsi="Times New Roman" w:cs="Times New Roman"/>
          <w:bCs/>
          <w:i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iCs/>
          <w:sz w:val="24"/>
          <w:szCs w:val="28"/>
        </w:rPr>
      </w:pPr>
      <w:r w:rsidRPr="00DE6BE4">
        <w:rPr>
          <w:rFonts w:ascii="Times New Roman" w:hAnsi="Times New Roman" w:cs="Times New Roman"/>
          <w:bCs/>
          <w:iCs/>
          <w:sz w:val="24"/>
          <w:szCs w:val="28"/>
        </w:rPr>
        <w:t xml:space="preserve">Daha sonraki aşamada bu sektörlerle eşleştirilecek üniversitelerin alan/sektör bazında belirlenmesi gerekiyordu. Bunun için Yeni YÖK’ün ana projelerinden olan ihtisaslaşma ve misyon farklılaşması projesi neticesinde Türk yükseköğretim sisteminde yer </w:t>
      </w:r>
      <w:proofErr w:type="gramStart"/>
      <w:r w:rsidRPr="00DE6BE4">
        <w:rPr>
          <w:rFonts w:ascii="Times New Roman" w:hAnsi="Times New Roman" w:cs="Times New Roman"/>
          <w:bCs/>
          <w:iCs/>
          <w:sz w:val="24"/>
          <w:szCs w:val="28"/>
        </w:rPr>
        <w:t>alan  “</w:t>
      </w:r>
      <w:proofErr w:type="gramEnd"/>
      <w:r w:rsidRPr="00DE6BE4">
        <w:rPr>
          <w:rFonts w:ascii="Times New Roman" w:hAnsi="Times New Roman" w:cs="Times New Roman"/>
          <w:bCs/>
          <w:iCs/>
          <w:sz w:val="24"/>
          <w:szCs w:val="28"/>
        </w:rPr>
        <w:t>Araştırma Üniversiteleri” üzerinde bir çalışma yapılması ve üniversitelerimizin yetkinlikleri, kapasiteleri ortaya konulması icap ediyordu. Bu konuda TÜBİTAK tarafından hazırlanan Araştırma Üniversitelerinin Alan Bazında Yetkinlik Analiz sonuçları dikkate alındı.</w:t>
      </w:r>
    </w:p>
    <w:p w:rsidR="00DE6BE4" w:rsidRDefault="00DE6BE4" w:rsidP="00DE6BE4">
      <w:pPr>
        <w:pStyle w:val="ListeParagraf"/>
        <w:spacing w:after="0" w:line="240" w:lineRule="auto"/>
        <w:ind w:left="0"/>
        <w:jc w:val="both"/>
        <w:rPr>
          <w:rFonts w:ascii="Times New Roman" w:hAnsi="Times New Roman" w:cs="Times New Roman"/>
          <w:bCs/>
          <w:i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iCs/>
          <w:sz w:val="24"/>
          <w:szCs w:val="28"/>
        </w:rPr>
      </w:pPr>
      <w:r w:rsidRPr="00DE6BE4">
        <w:rPr>
          <w:rFonts w:ascii="Times New Roman" w:hAnsi="Times New Roman" w:cs="Times New Roman"/>
          <w:bCs/>
          <w:iCs/>
          <w:sz w:val="24"/>
          <w:szCs w:val="28"/>
        </w:rPr>
        <w:t>Elbette alan eşleştirmeleri yapılırken</w:t>
      </w:r>
      <w:r w:rsidRPr="00DE6BE4">
        <w:rPr>
          <w:rFonts w:ascii="Times New Roman" w:hAnsi="Times New Roman" w:cs="Times New Roman"/>
          <w:bCs/>
          <w:i/>
          <w:sz w:val="24"/>
          <w:szCs w:val="28"/>
        </w:rPr>
        <w:t xml:space="preserve"> </w:t>
      </w:r>
      <w:r w:rsidRPr="00DE6BE4">
        <w:rPr>
          <w:rFonts w:ascii="Times New Roman" w:hAnsi="Times New Roman" w:cs="Times New Roman"/>
          <w:bCs/>
          <w:sz w:val="24"/>
          <w:szCs w:val="28"/>
        </w:rPr>
        <w:t>üniversitelerimizin fikirlerinin ve tercihlerinin de alınması önemli idi, bu minvalde onların tercihlerini de aldık.</w:t>
      </w:r>
    </w:p>
    <w:p w:rsidR="00DE6BE4" w:rsidRDefault="00DE6BE4" w:rsidP="00DE6BE4">
      <w:pPr>
        <w:pStyle w:val="ListeParagraf"/>
        <w:spacing w:after="0" w:line="240" w:lineRule="auto"/>
        <w:ind w:left="0"/>
        <w:jc w:val="both"/>
        <w:rPr>
          <w:rFonts w:ascii="Times New Roman" w:hAnsi="Times New Roman" w:cs="Times New Roman"/>
          <w:b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Cs/>
          <w:sz w:val="24"/>
          <w:szCs w:val="28"/>
        </w:rPr>
        <w:t>Üniversitelerimizden tercihleri alındıktan sonra her bir rektörümüzle ayrı ayrı görüşmeler yapıldı.</w:t>
      </w:r>
    </w:p>
    <w:p w:rsidR="00DE6BE4" w:rsidRDefault="00DE6BE4" w:rsidP="00DE6BE4">
      <w:pPr>
        <w:pStyle w:val="ListeParagraf"/>
        <w:spacing w:after="0" w:line="240" w:lineRule="auto"/>
        <w:ind w:left="0"/>
        <w:jc w:val="both"/>
        <w:rPr>
          <w:rFonts w:ascii="Times New Roman" w:hAnsi="Times New Roman" w:cs="Times New Roman"/>
          <w:b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Cs/>
          <w:sz w:val="24"/>
          <w:szCs w:val="28"/>
        </w:rPr>
        <w:t>Netice olarak, izlenen bu bilimsel yöntem sonucu On Birinci Kalkınma Planında yer alan tüm sektörler ve alt alanlar bir veya birden fazla üniversite ile eşleştirildi. Eşleştirilmeyen, açıkta hiçbir alan kalmamıştır. Buna göre:</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t xml:space="preserve">Kimya alanında; </w:t>
      </w:r>
      <w:r w:rsidRPr="00DE6BE4">
        <w:rPr>
          <w:rFonts w:ascii="Times New Roman" w:hAnsi="Times New Roman" w:cs="Times New Roman"/>
          <w:bCs/>
          <w:sz w:val="24"/>
          <w:szCs w:val="28"/>
        </w:rPr>
        <w:t>İTÜ, İzmir Yüksek Teknoloji, Ege, Ankara, Selçuk, ODTÜ, Gazi ve Gebze Teknik Üniversiteleri,</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t>İlaç sektöründe;</w:t>
      </w:r>
      <w:r w:rsidRPr="00DE6BE4">
        <w:rPr>
          <w:rFonts w:ascii="Times New Roman" w:hAnsi="Times New Roman" w:cs="Times New Roman"/>
          <w:bCs/>
          <w:sz w:val="24"/>
          <w:szCs w:val="28"/>
        </w:rPr>
        <w:t xml:space="preserve"> Ankara, Hacettepe, Ege, Erciyes, İstanbul ve İstanbul Cerrahpaşa Üniversiteleri,</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t>Tıbbi cihaz alanında;</w:t>
      </w:r>
      <w:r w:rsidRPr="00DE6BE4">
        <w:rPr>
          <w:rFonts w:ascii="Times New Roman" w:hAnsi="Times New Roman" w:cs="Times New Roman"/>
          <w:bCs/>
          <w:sz w:val="24"/>
          <w:szCs w:val="28"/>
        </w:rPr>
        <w:t xml:space="preserve"> Boğaziçi, Hacettepe, Gazi, İstanbul, İstanbul Cerrahpaşa Üniversiteleri,</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lastRenderedPageBreak/>
        <w:t xml:space="preserve">Elektronik alanında; </w:t>
      </w:r>
      <w:r w:rsidRPr="00DE6BE4">
        <w:rPr>
          <w:rFonts w:ascii="Times New Roman" w:hAnsi="Times New Roman" w:cs="Times New Roman"/>
          <w:bCs/>
          <w:sz w:val="24"/>
          <w:szCs w:val="28"/>
        </w:rPr>
        <w:t>Boğaziçi, ODTÜ, Yıldız Teknik, Gebze Teknik ve İzmir Yüksek Teknoloji Üniversiteleri,</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t xml:space="preserve">Otomotiv ve Raylı Sistemler alanında; </w:t>
      </w:r>
      <w:r w:rsidRPr="00DE6BE4">
        <w:rPr>
          <w:rFonts w:ascii="Times New Roman" w:hAnsi="Times New Roman" w:cs="Times New Roman"/>
          <w:bCs/>
          <w:sz w:val="24"/>
          <w:szCs w:val="28"/>
        </w:rPr>
        <w:t>Yıldız Teknik, Gebze Teknik, İTÜ, Çukurova, Boğaziçi, Uludağ, ODTÜ Üniversiteleri,</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t xml:space="preserve">Makine Elektrikli Teçhizat alanında; </w:t>
      </w:r>
      <w:r w:rsidRPr="00DE6BE4">
        <w:rPr>
          <w:rFonts w:ascii="Times New Roman" w:hAnsi="Times New Roman" w:cs="Times New Roman"/>
          <w:bCs/>
          <w:sz w:val="24"/>
          <w:szCs w:val="28"/>
        </w:rPr>
        <w:t>Yıldız Teknik, Gazi, İTÜ, Çukurova, ODTÜ, Selçuk, İstanbul Cerrahpaşa, Erciyes, Boğaziçi Üniversiteleri,</w:t>
      </w:r>
    </w:p>
    <w:p w:rsidR="00DE6BE4" w:rsidRDefault="00DE6BE4" w:rsidP="00DE6BE4">
      <w:pPr>
        <w:pStyle w:val="ListeParagraf"/>
        <w:spacing w:after="0" w:line="240" w:lineRule="auto"/>
        <w:ind w:left="0"/>
        <w:jc w:val="both"/>
        <w:rPr>
          <w:rFonts w:ascii="Times New Roman" w:hAnsi="Times New Roman" w:cs="Times New Roman"/>
          <w:b/>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
          <w:sz w:val="24"/>
          <w:szCs w:val="28"/>
        </w:rPr>
        <w:t>Gıda Arz Güvenliği alanında</w:t>
      </w:r>
      <w:r w:rsidRPr="00DE6BE4">
        <w:rPr>
          <w:rFonts w:ascii="Times New Roman" w:hAnsi="Times New Roman" w:cs="Times New Roman"/>
          <w:bCs/>
          <w:sz w:val="24"/>
          <w:szCs w:val="28"/>
        </w:rPr>
        <w:t xml:space="preserve">; Ankara, Erciyes, Çukurova, Ege, Uludağ, Hacettepe, Selçuk ve İstanbul Üniversiteleri </w:t>
      </w:r>
      <w:proofErr w:type="gramStart"/>
      <w:r w:rsidRPr="00DE6BE4">
        <w:rPr>
          <w:rFonts w:ascii="Times New Roman" w:hAnsi="Times New Roman" w:cs="Times New Roman"/>
          <w:bCs/>
          <w:sz w:val="24"/>
          <w:szCs w:val="28"/>
        </w:rPr>
        <w:t>eşleştirilmiştir .</w:t>
      </w:r>
      <w:proofErr w:type="gramEnd"/>
    </w:p>
    <w:p w:rsidR="00DE6BE4" w:rsidRDefault="00DE6BE4" w:rsidP="00DE6BE4">
      <w:pPr>
        <w:pStyle w:val="ListeParagraf"/>
        <w:spacing w:after="0" w:line="240" w:lineRule="auto"/>
        <w:ind w:left="0"/>
        <w:jc w:val="both"/>
        <w:rPr>
          <w:rFonts w:ascii="Times New Roman" w:hAnsi="Times New Roman" w:cs="Times New Roman"/>
          <w:b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Cs/>
          <w:sz w:val="24"/>
          <w:szCs w:val="28"/>
        </w:rPr>
        <w:t xml:space="preserve">On Birinci Kalkınma Planına göre yapılan bu eşleştirmeler </w:t>
      </w:r>
      <w:r w:rsidRPr="00DE6BE4">
        <w:rPr>
          <w:rFonts w:ascii="Times New Roman" w:hAnsi="Times New Roman" w:cs="Times New Roman"/>
          <w:bCs/>
          <w:i/>
          <w:sz w:val="24"/>
          <w:szCs w:val="28"/>
        </w:rPr>
        <w:t>Cumhurbaşkanlığı Strateji ve Bütçe Başkanlığı</w:t>
      </w:r>
      <w:r w:rsidRPr="00DE6BE4">
        <w:rPr>
          <w:rFonts w:ascii="Times New Roman" w:hAnsi="Times New Roman" w:cs="Times New Roman"/>
          <w:bCs/>
          <w:sz w:val="24"/>
          <w:szCs w:val="28"/>
        </w:rPr>
        <w:t>’na iletilecektir. Böylece önümüzdeki yıllarda yapılacak yatırım programlarındaki karar alma süreçlerinde üniversitelerin uzmanlık alanlarının dikkate alınması sağlanacaktır.</w:t>
      </w:r>
    </w:p>
    <w:p w:rsidR="00DE6BE4" w:rsidRDefault="00DE6BE4" w:rsidP="00DE6BE4">
      <w:pPr>
        <w:pStyle w:val="ListeParagraf"/>
        <w:spacing w:after="0" w:line="240" w:lineRule="auto"/>
        <w:ind w:left="0"/>
        <w:jc w:val="both"/>
        <w:rPr>
          <w:rFonts w:ascii="Times New Roman" w:hAnsi="Times New Roman" w:cs="Times New Roman"/>
          <w:b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Cs/>
          <w:sz w:val="24"/>
          <w:szCs w:val="28"/>
        </w:rPr>
        <w:t>YÖK tarafından araştırma ve aday araştırma üniversitelerimizin belirlenen ihtisas alanlarıyla ilgili, ortak araştırma merkezi, merkez, bölüm kurmaları teşvik edilecektir. Üniversitenin büyüme rotasında ve kadro taleplerinde bu rapor dikkate alınacaktır.</w:t>
      </w:r>
    </w:p>
    <w:p w:rsidR="00DE6BE4" w:rsidRDefault="00DE6BE4" w:rsidP="00DE6BE4">
      <w:pPr>
        <w:spacing w:after="0" w:line="240" w:lineRule="auto"/>
        <w:jc w:val="both"/>
        <w:rPr>
          <w:rFonts w:ascii="Times New Roman" w:hAnsi="Times New Roman" w:cs="Times New Roman"/>
          <w:bCs/>
          <w:sz w:val="24"/>
          <w:szCs w:val="28"/>
        </w:rPr>
      </w:pPr>
    </w:p>
    <w:p w:rsidR="00DE6BE4" w:rsidRPr="00DE6BE4" w:rsidRDefault="00DE6BE4" w:rsidP="00DE6BE4">
      <w:pPr>
        <w:spacing w:after="0" w:line="240" w:lineRule="auto"/>
        <w:jc w:val="both"/>
        <w:rPr>
          <w:rFonts w:ascii="Times New Roman" w:hAnsi="Times New Roman" w:cs="Times New Roman"/>
          <w:bCs/>
          <w:sz w:val="24"/>
          <w:szCs w:val="28"/>
        </w:rPr>
      </w:pPr>
      <w:r w:rsidRPr="00DE6BE4">
        <w:rPr>
          <w:rFonts w:ascii="Times New Roman" w:hAnsi="Times New Roman" w:cs="Times New Roman"/>
          <w:bCs/>
          <w:sz w:val="24"/>
          <w:szCs w:val="28"/>
        </w:rPr>
        <w:t>Aynı ihtisas alanındaki üniversitelerin ortak çalışmalar yapmaları teşvik edilecektir.</w:t>
      </w:r>
    </w:p>
    <w:p w:rsidR="00DE6BE4" w:rsidRDefault="00DE6BE4" w:rsidP="00DE6BE4">
      <w:pPr>
        <w:pStyle w:val="ListeParagraf"/>
        <w:spacing w:after="0" w:line="240" w:lineRule="auto"/>
        <w:ind w:left="0"/>
        <w:jc w:val="both"/>
        <w:rPr>
          <w:rFonts w:ascii="Times New Roman" w:hAnsi="Times New Roman" w:cs="Times New Roman"/>
          <w:bCs/>
          <w:sz w:val="24"/>
          <w:szCs w:val="28"/>
        </w:rPr>
      </w:pPr>
    </w:p>
    <w:p w:rsidR="00DE6BE4" w:rsidRPr="00DE6BE4" w:rsidRDefault="00DE6BE4" w:rsidP="00DE6BE4">
      <w:pPr>
        <w:pStyle w:val="ListeParagraf"/>
        <w:spacing w:after="0" w:line="240" w:lineRule="auto"/>
        <w:ind w:left="0"/>
        <w:jc w:val="both"/>
        <w:rPr>
          <w:rFonts w:ascii="Times New Roman" w:hAnsi="Times New Roman" w:cs="Times New Roman"/>
          <w:bCs/>
          <w:sz w:val="24"/>
          <w:szCs w:val="28"/>
        </w:rPr>
      </w:pPr>
      <w:r w:rsidRPr="00DE6BE4">
        <w:rPr>
          <w:rFonts w:ascii="Times New Roman" w:hAnsi="Times New Roman" w:cs="Times New Roman"/>
          <w:bCs/>
          <w:sz w:val="24"/>
          <w:szCs w:val="28"/>
        </w:rPr>
        <w:t xml:space="preserve">Bu çalışmanın bir dolaylı sonucu da Yeni YÖK’ün Türk yükseköğretimine kazandırmış olduğu “Araştırma Üniversitesi” olgusu zaman geçtikçe daha da oturmakta, kalkınma planlarında dikkate alınan bir ölçüt olmaktadır. Bu da bu üniversitelerimize elbet daha da farklı misyon ve mesuliyetler yüklemektedir. Sistem artık başarıya endeksli bir şekilde gelişmektedir. </w:t>
      </w:r>
    </w:p>
    <w:p w:rsidR="006C3142" w:rsidRDefault="006C3142" w:rsidP="006C3142">
      <w:pPr>
        <w:pStyle w:val="ListeParagraf"/>
        <w:spacing w:after="0" w:line="240" w:lineRule="auto"/>
        <w:ind w:left="0"/>
        <w:jc w:val="both"/>
        <w:rPr>
          <w:rFonts w:ascii="Times New Roman" w:hAnsi="Times New Roman" w:cs="Times New Roman"/>
          <w:bCs/>
          <w:sz w:val="24"/>
          <w:szCs w:val="28"/>
        </w:rPr>
      </w:pPr>
    </w:p>
    <w:p w:rsidR="00DE6BE4" w:rsidRDefault="00DE6BE4" w:rsidP="006C3142">
      <w:pPr>
        <w:pStyle w:val="ListeParagraf"/>
        <w:spacing w:after="0" w:line="240" w:lineRule="auto"/>
        <w:ind w:left="0"/>
        <w:jc w:val="both"/>
        <w:rPr>
          <w:rFonts w:ascii="Times New Roman" w:hAnsi="Times New Roman" w:cs="Times New Roman"/>
          <w:bCs/>
          <w:sz w:val="24"/>
          <w:szCs w:val="28"/>
        </w:rPr>
      </w:pPr>
    </w:p>
    <w:p w:rsidR="006C3142" w:rsidRPr="00DE6BE4" w:rsidRDefault="006C3142" w:rsidP="006C3142">
      <w:pPr>
        <w:pStyle w:val="ListeParagraf"/>
        <w:spacing w:after="0" w:line="240" w:lineRule="auto"/>
        <w:ind w:left="0"/>
        <w:jc w:val="both"/>
        <w:rPr>
          <w:rFonts w:ascii="Times New Roman" w:hAnsi="Times New Roman" w:cs="Times New Roman"/>
          <w:b/>
          <w:bCs/>
          <w:sz w:val="24"/>
          <w:szCs w:val="28"/>
        </w:rPr>
      </w:pPr>
      <w:r w:rsidRPr="00DE6BE4">
        <w:rPr>
          <w:rFonts w:ascii="Times New Roman" w:hAnsi="Times New Roman" w:cs="Times New Roman"/>
          <w:b/>
          <w:bCs/>
          <w:sz w:val="24"/>
          <w:szCs w:val="28"/>
        </w:rPr>
        <w:t>Prof. Dr. M. A. Yekta Saraç</w:t>
      </w:r>
    </w:p>
    <w:p w:rsidR="006C3142" w:rsidRPr="00DE6BE4" w:rsidRDefault="006C3142" w:rsidP="006C3142">
      <w:pPr>
        <w:pStyle w:val="ListeParagraf"/>
        <w:spacing w:after="0" w:line="240" w:lineRule="auto"/>
        <w:ind w:left="0"/>
        <w:jc w:val="both"/>
        <w:rPr>
          <w:rFonts w:ascii="Times New Roman" w:hAnsi="Times New Roman" w:cs="Times New Roman"/>
          <w:b/>
          <w:bCs/>
          <w:sz w:val="24"/>
          <w:szCs w:val="28"/>
        </w:rPr>
      </w:pPr>
      <w:r w:rsidRPr="00DE6BE4">
        <w:rPr>
          <w:rFonts w:ascii="Times New Roman" w:hAnsi="Times New Roman" w:cs="Times New Roman"/>
          <w:b/>
          <w:bCs/>
          <w:sz w:val="24"/>
          <w:szCs w:val="28"/>
        </w:rPr>
        <w:t>Yükseköğretim Kurulu Başkanı</w:t>
      </w:r>
    </w:p>
    <w:p w:rsidR="006C3142" w:rsidRPr="00DE6BE4" w:rsidRDefault="003429D0" w:rsidP="006C3142">
      <w:pPr>
        <w:pStyle w:val="ListeParagraf"/>
        <w:spacing w:after="0" w:line="240" w:lineRule="auto"/>
        <w:ind w:left="0"/>
        <w:jc w:val="both"/>
        <w:rPr>
          <w:rFonts w:ascii="Times New Roman" w:hAnsi="Times New Roman" w:cs="Times New Roman"/>
          <w:b/>
          <w:bCs/>
          <w:sz w:val="24"/>
          <w:szCs w:val="28"/>
        </w:rPr>
      </w:pPr>
      <w:r>
        <w:rPr>
          <w:rFonts w:ascii="Times New Roman" w:hAnsi="Times New Roman" w:cs="Times New Roman"/>
          <w:b/>
          <w:bCs/>
          <w:sz w:val="24"/>
          <w:szCs w:val="28"/>
        </w:rPr>
        <w:t>Araştırma Odaklı İhtisaslaşma Programı Sektör Eşleşmesi Toplantısı</w:t>
      </w:r>
      <w:bookmarkStart w:id="0" w:name="_GoBack"/>
      <w:bookmarkEnd w:id="0"/>
      <w:r>
        <w:rPr>
          <w:rFonts w:ascii="Times New Roman" w:hAnsi="Times New Roman" w:cs="Times New Roman"/>
          <w:b/>
          <w:bCs/>
          <w:sz w:val="24"/>
          <w:szCs w:val="28"/>
        </w:rPr>
        <w:t xml:space="preserve"> </w:t>
      </w:r>
    </w:p>
    <w:p w:rsidR="00DE6BE4" w:rsidRPr="00DE6BE4" w:rsidRDefault="00DE6BE4" w:rsidP="006C3142">
      <w:pPr>
        <w:pStyle w:val="ListeParagraf"/>
        <w:spacing w:after="0" w:line="240" w:lineRule="auto"/>
        <w:ind w:left="0"/>
        <w:jc w:val="both"/>
        <w:rPr>
          <w:rFonts w:ascii="Times New Roman" w:hAnsi="Times New Roman" w:cs="Times New Roman"/>
          <w:b/>
          <w:bCs/>
          <w:sz w:val="24"/>
          <w:szCs w:val="28"/>
        </w:rPr>
      </w:pPr>
      <w:r w:rsidRPr="00DE6BE4">
        <w:rPr>
          <w:rFonts w:ascii="Times New Roman" w:hAnsi="Times New Roman" w:cs="Times New Roman"/>
          <w:b/>
          <w:bCs/>
          <w:sz w:val="24"/>
          <w:szCs w:val="28"/>
        </w:rPr>
        <w:t>7 Haziran 2021, İstanbul Teknik Üniversitesi</w:t>
      </w:r>
      <w:r w:rsidR="00514591">
        <w:rPr>
          <w:rFonts w:ascii="Times New Roman" w:hAnsi="Times New Roman" w:cs="Times New Roman"/>
          <w:b/>
          <w:bCs/>
          <w:sz w:val="24"/>
          <w:szCs w:val="28"/>
        </w:rPr>
        <w:t xml:space="preserve"> Süleyman Demirel Kültür Merkezi</w:t>
      </w:r>
    </w:p>
    <w:p w:rsidR="00DE6BE4" w:rsidRPr="006C3142" w:rsidRDefault="00DE6BE4" w:rsidP="006C3142">
      <w:pPr>
        <w:pStyle w:val="ListeParagraf"/>
        <w:spacing w:after="0" w:line="240" w:lineRule="auto"/>
        <w:ind w:left="0"/>
        <w:jc w:val="both"/>
        <w:rPr>
          <w:rFonts w:ascii="Times New Roman" w:hAnsi="Times New Roman" w:cs="Times New Roman"/>
          <w:bCs/>
          <w:sz w:val="24"/>
          <w:szCs w:val="28"/>
        </w:rPr>
      </w:pPr>
    </w:p>
    <w:p w:rsidR="00EF0B07" w:rsidRPr="006C3142" w:rsidRDefault="00EF0B07" w:rsidP="006C3142">
      <w:pPr>
        <w:pStyle w:val="ListeParagraf"/>
        <w:spacing w:after="0" w:line="240" w:lineRule="auto"/>
        <w:ind w:left="0" w:firstLine="709"/>
        <w:jc w:val="both"/>
        <w:rPr>
          <w:rFonts w:ascii="Times New Roman" w:hAnsi="Times New Roman" w:cs="Times New Roman"/>
          <w:sz w:val="24"/>
          <w:szCs w:val="28"/>
        </w:rPr>
      </w:pPr>
    </w:p>
    <w:p w:rsidR="00EF0B07" w:rsidRPr="006C3142" w:rsidRDefault="00EF0B07" w:rsidP="006C3142">
      <w:pPr>
        <w:spacing w:after="0" w:line="240" w:lineRule="auto"/>
        <w:ind w:firstLine="709"/>
        <w:jc w:val="both"/>
        <w:rPr>
          <w:rFonts w:ascii="Times New Roman" w:hAnsi="Times New Roman" w:cs="Times New Roman"/>
          <w:sz w:val="24"/>
          <w:szCs w:val="28"/>
        </w:rPr>
      </w:pPr>
    </w:p>
    <w:p w:rsidR="00380826" w:rsidRPr="006C3142" w:rsidRDefault="00380826" w:rsidP="006C3142">
      <w:pPr>
        <w:spacing w:after="0" w:line="240" w:lineRule="auto"/>
        <w:ind w:firstLine="709"/>
        <w:rPr>
          <w:sz w:val="20"/>
        </w:rPr>
      </w:pPr>
    </w:p>
    <w:sectPr w:rsidR="00380826" w:rsidRPr="006C3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309"/>
    <w:multiLevelType w:val="hybridMultilevel"/>
    <w:tmpl w:val="8D289B84"/>
    <w:lvl w:ilvl="0" w:tplc="AC76BCBA">
      <w:start w:val="1"/>
      <w:numFmt w:val="decimal"/>
      <w:lvlText w:val="%1."/>
      <w:lvlJc w:val="left"/>
      <w:pPr>
        <w:ind w:left="501" w:hanging="360"/>
      </w:pPr>
      <w:rPr>
        <w:rFonts w:ascii="Times New Roman" w:eastAsiaTheme="minorHAnsi"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07"/>
    <w:rsid w:val="003429D0"/>
    <w:rsid w:val="00380826"/>
    <w:rsid w:val="00387DE7"/>
    <w:rsid w:val="003D3E41"/>
    <w:rsid w:val="003D443F"/>
    <w:rsid w:val="00406475"/>
    <w:rsid w:val="004F48D4"/>
    <w:rsid w:val="00514591"/>
    <w:rsid w:val="006C3142"/>
    <w:rsid w:val="007347D3"/>
    <w:rsid w:val="008A63F2"/>
    <w:rsid w:val="00960203"/>
    <w:rsid w:val="009E0E05"/>
    <w:rsid w:val="00B20C88"/>
    <w:rsid w:val="00DE6BE4"/>
    <w:rsid w:val="00EF0B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70EE"/>
  <w15:chartTrackingRefBased/>
  <w15:docId w15:val="{9A18418D-B215-46A4-B80B-9B1F4E64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CF511-1494-4988-BA62-E07B02856642}"/>
</file>

<file path=customXml/itemProps2.xml><?xml version="1.0" encoding="utf-8"?>
<ds:datastoreItem xmlns:ds="http://schemas.openxmlformats.org/officeDocument/2006/customXml" ds:itemID="{0736322D-9CBC-4853-9A10-445AD1F71490}"/>
</file>

<file path=customXml/itemProps3.xml><?xml version="1.0" encoding="utf-8"?>
<ds:datastoreItem xmlns:ds="http://schemas.openxmlformats.org/officeDocument/2006/customXml" ds:itemID="{27072139-D32A-4ECE-978B-69532EF4472B}"/>
</file>

<file path=docProps/app.xml><?xml version="1.0" encoding="utf-8"?>
<Properties xmlns="http://schemas.openxmlformats.org/officeDocument/2006/extended-properties" xmlns:vt="http://schemas.openxmlformats.org/officeDocument/2006/docPropsVTypes">
  <Template>Normal</Template>
  <TotalTime>28</TotalTime>
  <Pages>2</Pages>
  <Words>680</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 GÜNDOĞAN</dc:creator>
  <cp:keywords/>
  <dc:description/>
  <cp:lastModifiedBy>MEHMET OZER</cp:lastModifiedBy>
  <cp:revision>7</cp:revision>
  <dcterms:created xsi:type="dcterms:W3CDTF">2021-06-07T07:57:00Z</dcterms:created>
  <dcterms:modified xsi:type="dcterms:W3CDTF">2021-06-07T10:54:00Z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