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olors2.xml" ContentType="application/vnd.ms-office.chartcolorstyle+xml"/>
  <Override PartName="/word/charts/style2.xml" ContentType="application/vnd.ms-office.chartstyl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7F14" w14:textId="77777777" w:rsidR="008C5D42" w:rsidRDefault="008D3E45">
      <w:pPr>
        <w:spacing w:before="77"/>
        <w:ind w:left="3069"/>
        <w:rPr>
          <w:b/>
          <w:sz w:val="26"/>
        </w:rPr>
      </w:pPr>
      <w:bookmarkStart w:id="0" w:name="_GoBack"/>
      <w:bookmarkEnd w:id="0"/>
      <w:r>
        <w:rPr>
          <w:b/>
          <w:sz w:val="26"/>
        </w:rPr>
        <w:t>YÜKSEKÖĞRETİM KURULU</w:t>
      </w:r>
    </w:p>
    <w:p w14:paraId="04CAD9F1" w14:textId="77777777" w:rsidR="008C5D42" w:rsidRDefault="00F55B4F">
      <w:pPr>
        <w:spacing w:before="205" w:line="405" w:lineRule="auto"/>
        <w:ind w:left="1707" w:right="1858"/>
        <w:jc w:val="center"/>
        <w:rPr>
          <w:b/>
          <w:sz w:val="26"/>
        </w:rPr>
      </w:pPr>
      <w:r>
        <w:rPr>
          <w:b/>
          <w:sz w:val="26"/>
        </w:rPr>
        <w:t>2020</w:t>
      </w:r>
      <w:r w:rsidR="008D3E45">
        <w:rPr>
          <w:b/>
          <w:sz w:val="26"/>
        </w:rPr>
        <w:t xml:space="preserve"> YILI YÜKSEKÖĞRETİM KURUMLARI SINAVI YERLEŞTİRME SONUÇLARI RAPORU</w:t>
      </w:r>
    </w:p>
    <w:p w14:paraId="7517A474" w14:textId="3DF1A920" w:rsidR="00653A69" w:rsidRDefault="00653A69">
      <w:pPr>
        <w:spacing w:before="205" w:line="405" w:lineRule="auto"/>
        <w:ind w:left="1707" w:right="1858"/>
        <w:jc w:val="center"/>
        <w:rPr>
          <w:b/>
          <w:sz w:val="26"/>
        </w:rPr>
      </w:pPr>
    </w:p>
    <w:p w14:paraId="7AF1F4F5" w14:textId="77777777" w:rsidR="00871A93" w:rsidRPr="00871A93" w:rsidRDefault="00871A93">
      <w:pPr>
        <w:spacing w:before="205" w:line="405" w:lineRule="auto"/>
        <w:ind w:left="1707" w:right="1858"/>
        <w:jc w:val="center"/>
        <w:rPr>
          <w:b/>
        </w:rPr>
      </w:pPr>
    </w:p>
    <w:p w14:paraId="49AA2944" w14:textId="35A1582F" w:rsidR="0038074C" w:rsidRPr="00871A93" w:rsidRDefault="0038074C" w:rsidP="0038074C">
      <w:pPr>
        <w:pStyle w:val="GvdeMetni"/>
        <w:spacing w:line="360" w:lineRule="auto"/>
        <w:ind w:left="360"/>
        <w:rPr>
          <w:b/>
        </w:rPr>
      </w:pPr>
      <w:r w:rsidRPr="00871A93">
        <w:rPr>
          <w:b/>
        </w:rPr>
        <w:t xml:space="preserve">- DOLULUK ORANLARINDA BÜYÜK BAŞARI </w:t>
      </w:r>
    </w:p>
    <w:p w14:paraId="6A1B0D57" w14:textId="42CBBE03" w:rsidR="0038074C" w:rsidRPr="00871A93" w:rsidRDefault="0038074C" w:rsidP="0038074C">
      <w:pPr>
        <w:pStyle w:val="GvdeMetni"/>
        <w:spacing w:line="360" w:lineRule="auto"/>
        <w:ind w:left="360"/>
        <w:rPr>
          <w:b/>
        </w:rPr>
      </w:pPr>
      <w:r w:rsidRPr="00871A93">
        <w:rPr>
          <w:b/>
        </w:rPr>
        <w:t>- BOŞ KONTENJANLAR HER YIL AZALIYOR</w:t>
      </w:r>
    </w:p>
    <w:p w14:paraId="4A57A1AF" w14:textId="094BB1F6" w:rsidR="0038074C" w:rsidRPr="00871A93" w:rsidRDefault="0038074C" w:rsidP="0038074C">
      <w:pPr>
        <w:pStyle w:val="GvdeMetni"/>
        <w:spacing w:line="360" w:lineRule="auto"/>
        <w:ind w:left="360"/>
        <w:rPr>
          <w:b/>
        </w:rPr>
      </w:pPr>
      <w:r w:rsidRPr="00871A93">
        <w:rPr>
          <w:b/>
        </w:rPr>
        <w:t>- YKS İLE HER YIL DOLULUK ORANLARI ARTIYOR</w:t>
      </w:r>
    </w:p>
    <w:p w14:paraId="1EE28E9E" w14:textId="15FCA9E2" w:rsidR="0038074C" w:rsidRPr="00871A93" w:rsidRDefault="0038074C" w:rsidP="0038074C">
      <w:pPr>
        <w:pStyle w:val="GvdeMetni"/>
        <w:spacing w:line="360" w:lineRule="auto"/>
        <w:ind w:left="360"/>
        <w:rPr>
          <w:b/>
        </w:rPr>
      </w:pPr>
      <w:r w:rsidRPr="00871A93">
        <w:rPr>
          <w:b/>
        </w:rPr>
        <w:t xml:space="preserve">- </w:t>
      </w:r>
      <w:proofErr w:type="gramStart"/>
      <w:r w:rsidRPr="00871A93">
        <w:rPr>
          <w:b/>
        </w:rPr>
        <w:t>ÜNİVERSİTELERDE  DOLULUK</w:t>
      </w:r>
      <w:proofErr w:type="gramEnd"/>
      <w:r w:rsidRPr="00871A93">
        <w:rPr>
          <w:b/>
        </w:rPr>
        <w:t xml:space="preserve"> ORANI %95’e YAKLAŞTI </w:t>
      </w:r>
    </w:p>
    <w:p w14:paraId="270CDD4E" w14:textId="77D222AB" w:rsidR="008C5D42" w:rsidRPr="00871A93" w:rsidRDefault="0038074C" w:rsidP="0038074C">
      <w:pPr>
        <w:pStyle w:val="GvdeMetni"/>
        <w:spacing w:line="360" w:lineRule="auto"/>
        <w:ind w:left="360"/>
        <w:rPr>
          <w:b/>
        </w:rPr>
      </w:pPr>
      <w:r w:rsidRPr="00871A93">
        <w:rPr>
          <w:b/>
        </w:rPr>
        <w:t>- YKS ÜÇÜNCÜ YILINDA DA DOLULUK ORANLARINI ARTIRDI</w:t>
      </w:r>
    </w:p>
    <w:p w14:paraId="24B591DD" w14:textId="77777777" w:rsidR="00653A69" w:rsidRDefault="00653A69">
      <w:pPr>
        <w:pStyle w:val="GvdeMetni"/>
        <w:rPr>
          <w:b/>
          <w:sz w:val="26"/>
        </w:rPr>
      </w:pPr>
    </w:p>
    <w:p w14:paraId="64A9850E" w14:textId="77777777" w:rsidR="00C301E7" w:rsidRDefault="00C301E7">
      <w:pPr>
        <w:pStyle w:val="GvdeMetni"/>
        <w:rPr>
          <w:b/>
          <w:sz w:val="26"/>
        </w:rPr>
      </w:pPr>
    </w:p>
    <w:p w14:paraId="566245A6" w14:textId="77777777" w:rsidR="00C301E7" w:rsidRPr="004561C6" w:rsidRDefault="00C301E7">
      <w:pPr>
        <w:pStyle w:val="GvdeMetni"/>
        <w:rPr>
          <w:b/>
          <w:sz w:val="26"/>
          <w:szCs w:val="26"/>
        </w:rPr>
      </w:pPr>
    </w:p>
    <w:p w14:paraId="4F956289" w14:textId="77777777" w:rsidR="00D9330B" w:rsidRPr="004561C6" w:rsidRDefault="00D9330B" w:rsidP="00D9330B">
      <w:pPr>
        <w:pStyle w:val="GvdeMetni"/>
        <w:spacing w:before="1"/>
        <w:rPr>
          <w:bCs/>
          <w:sz w:val="26"/>
          <w:szCs w:val="26"/>
        </w:rPr>
      </w:pPr>
    </w:p>
    <w:p w14:paraId="30F1F1DE" w14:textId="77777777" w:rsidR="00D9330B" w:rsidRPr="009946EF" w:rsidRDefault="00D9330B" w:rsidP="00D9330B">
      <w:pPr>
        <w:pStyle w:val="ListeParagraf"/>
        <w:numPr>
          <w:ilvl w:val="0"/>
          <w:numId w:val="2"/>
        </w:numPr>
        <w:tabs>
          <w:tab w:val="left" w:pos="463"/>
        </w:tabs>
        <w:spacing w:before="1"/>
        <w:jc w:val="left"/>
        <w:rPr>
          <w:b/>
          <w:sz w:val="20"/>
        </w:rPr>
      </w:pPr>
      <w:r w:rsidRPr="00771716">
        <w:rPr>
          <w:b/>
          <w:sz w:val="24"/>
        </w:rPr>
        <w:t>Sınava</w:t>
      </w:r>
      <w:r>
        <w:rPr>
          <w:b/>
          <w:sz w:val="24"/>
        </w:rPr>
        <w:t xml:space="preserve"> </w:t>
      </w:r>
      <w:r w:rsidRPr="009946EF">
        <w:rPr>
          <w:b/>
          <w:sz w:val="24"/>
        </w:rPr>
        <w:t>Başvuran Aday Sayıları ve Toplam</w:t>
      </w:r>
      <w:r w:rsidRPr="009946EF">
        <w:rPr>
          <w:b/>
          <w:spacing w:val="-7"/>
          <w:sz w:val="24"/>
        </w:rPr>
        <w:t xml:space="preserve"> </w:t>
      </w:r>
      <w:r w:rsidRPr="009946EF">
        <w:rPr>
          <w:b/>
          <w:sz w:val="24"/>
        </w:rPr>
        <w:t xml:space="preserve">Kontenjanlar </w:t>
      </w:r>
    </w:p>
    <w:p w14:paraId="4CD8B228" w14:textId="77777777" w:rsidR="00D9330B" w:rsidRDefault="00D9330B" w:rsidP="00D9330B">
      <w:pPr>
        <w:pStyle w:val="GvdeMetni"/>
        <w:spacing w:before="4"/>
        <w:rPr>
          <w:b/>
          <w:sz w:val="11"/>
        </w:rPr>
      </w:pPr>
    </w:p>
    <w:tbl>
      <w:tblPr>
        <w:tblStyle w:val="TabloKlavuzu"/>
        <w:tblpPr w:leftFromText="141" w:rightFromText="141" w:vertAnchor="text" w:horzAnchor="page" w:tblpXSpec="center" w:tblpY="263"/>
        <w:tblW w:w="10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49"/>
        <w:gridCol w:w="1418"/>
        <w:gridCol w:w="1564"/>
        <w:gridCol w:w="1258"/>
        <w:gridCol w:w="1224"/>
      </w:tblGrid>
      <w:tr w:rsidR="00D9330B" w:rsidRPr="00661BD9" w14:paraId="36792533" w14:textId="77777777" w:rsidTr="00286018">
        <w:trPr>
          <w:trHeight w:val="396"/>
        </w:trPr>
        <w:tc>
          <w:tcPr>
            <w:tcW w:w="4649" w:type="dxa"/>
            <w:shd w:val="clear" w:color="auto" w:fill="FFFFFF" w:themeFill="background1"/>
            <w:vAlign w:val="bottom"/>
          </w:tcPr>
          <w:p w14:paraId="30378093" w14:textId="77777777" w:rsidR="00D9330B" w:rsidRPr="00661BD9" w:rsidRDefault="00D9330B" w:rsidP="00286018">
            <w:pPr>
              <w:jc w:val="center"/>
              <w:rPr>
                <w:b/>
                <w:color w:val="000000" w:themeColor="text1"/>
                <w:sz w:val="24"/>
                <w:szCs w:val="24"/>
              </w:rPr>
            </w:pPr>
          </w:p>
        </w:tc>
        <w:tc>
          <w:tcPr>
            <w:tcW w:w="1418" w:type="dxa"/>
            <w:shd w:val="clear" w:color="auto" w:fill="B6DDE8" w:themeFill="accent5" w:themeFillTint="66"/>
            <w:vAlign w:val="center"/>
          </w:tcPr>
          <w:p w14:paraId="5C4C4B49" w14:textId="77777777" w:rsidR="00D9330B" w:rsidRPr="00661BD9" w:rsidRDefault="00D9330B" w:rsidP="00286018">
            <w:pPr>
              <w:jc w:val="center"/>
              <w:rPr>
                <w:b/>
                <w:color w:val="000000" w:themeColor="text1"/>
                <w:sz w:val="24"/>
                <w:szCs w:val="24"/>
              </w:rPr>
            </w:pPr>
            <w:r w:rsidRPr="00661BD9">
              <w:rPr>
                <w:b/>
                <w:color w:val="000000" w:themeColor="text1"/>
                <w:sz w:val="24"/>
                <w:szCs w:val="24"/>
              </w:rPr>
              <w:t>2017</w:t>
            </w:r>
          </w:p>
        </w:tc>
        <w:tc>
          <w:tcPr>
            <w:tcW w:w="1564" w:type="dxa"/>
            <w:shd w:val="clear" w:color="auto" w:fill="B6DDE8" w:themeFill="accent5" w:themeFillTint="66"/>
            <w:vAlign w:val="center"/>
          </w:tcPr>
          <w:p w14:paraId="75F11F16" w14:textId="77777777" w:rsidR="00D9330B" w:rsidRPr="00661BD9" w:rsidRDefault="00D9330B" w:rsidP="00286018">
            <w:pPr>
              <w:jc w:val="center"/>
              <w:rPr>
                <w:b/>
                <w:color w:val="000000" w:themeColor="text1"/>
                <w:sz w:val="24"/>
                <w:szCs w:val="24"/>
              </w:rPr>
            </w:pPr>
            <w:r w:rsidRPr="00661BD9">
              <w:rPr>
                <w:b/>
                <w:color w:val="000000" w:themeColor="text1"/>
                <w:sz w:val="24"/>
                <w:szCs w:val="24"/>
              </w:rPr>
              <w:t>2018</w:t>
            </w:r>
          </w:p>
        </w:tc>
        <w:tc>
          <w:tcPr>
            <w:tcW w:w="1258" w:type="dxa"/>
            <w:shd w:val="clear" w:color="auto" w:fill="B6DDE8" w:themeFill="accent5" w:themeFillTint="66"/>
            <w:vAlign w:val="center"/>
          </w:tcPr>
          <w:p w14:paraId="3E427A97" w14:textId="77777777" w:rsidR="00D9330B" w:rsidRPr="00661BD9" w:rsidRDefault="00D9330B" w:rsidP="00286018">
            <w:pPr>
              <w:jc w:val="center"/>
              <w:rPr>
                <w:b/>
                <w:color w:val="000000" w:themeColor="text1"/>
                <w:sz w:val="24"/>
                <w:szCs w:val="24"/>
              </w:rPr>
            </w:pPr>
            <w:r>
              <w:rPr>
                <w:b/>
                <w:color w:val="000000" w:themeColor="text1"/>
                <w:sz w:val="24"/>
                <w:szCs w:val="24"/>
              </w:rPr>
              <w:t>2019</w:t>
            </w:r>
          </w:p>
        </w:tc>
        <w:tc>
          <w:tcPr>
            <w:tcW w:w="1224" w:type="dxa"/>
            <w:shd w:val="clear" w:color="auto" w:fill="B6DDE8" w:themeFill="accent5" w:themeFillTint="66"/>
            <w:vAlign w:val="center"/>
          </w:tcPr>
          <w:p w14:paraId="1765C667" w14:textId="77777777" w:rsidR="00D9330B" w:rsidRDefault="00D9330B" w:rsidP="00286018">
            <w:pPr>
              <w:jc w:val="center"/>
              <w:rPr>
                <w:b/>
                <w:color w:val="000000" w:themeColor="text1"/>
                <w:sz w:val="24"/>
                <w:szCs w:val="24"/>
              </w:rPr>
            </w:pPr>
            <w:r>
              <w:rPr>
                <w:b/>
                <w:color w:val="000000" w:themeColor="text1"/>
                <w:sz w:val="24"/>
                <w:szCs w:val="24"/>
              </w:rPr>
              <w:t>2020</w:t>
            </w:r>
          </w:p>
        </w:tc>
      </w:tr>
      <w:tr w:rsidR="00D9330B" w:rsidRPr="00661BD9" w14:paraId="69502877" w14:textId="77777777" w:rsidTr="00286018">
        <w:trPr>
          <w:trHeight w:val="402"/>
        </w:trPr>
        <w:tc>
          <w:tcPr>
            <w:tcW w:w="4649" w:type="dxa"/>
            <w:shd w:val="clear" w:color="auto" w:fill="F2DBDB" w:themeFill="accent2" w:themeFillTint="33"/>
            <w:vAlign w:val="center"/>
          </w:tcPr>
          <w:p w14:paraId="6094EFD0" w14:textId="77777777" w:rsidR="00D9330B" w:rsidRPr="005C6660" w:rsidRDefault="00D9330B" w:rsidP="00286018">
            <w:pPr>
              <w:jc w:val="both"/>
              <w:rPr>
                <w:rFonts w:cstheme="minorHAnsi"/>
                <w:b/>
                <w:color w:val="000000" w:themeColor="text1"/>
                <w:sz w:val="24"/>
                <w:szCs w:val="24"/>
              </w:rPr>
            </w:pPr>
            <w:r>
              <w:rPr>
                <w:rFonts w:cstheme="minorHAnsi"/>
                <w:b/>
                <w:sz w:val="24"/>
                <w:szCs w:val="24"/>
              </w:rPr>
              <w:t xml:space="preserve">Sınava </w:t>
            </w:r>
            <w:r w:rsidRPr="00C4294B">
              <w:rPr>
                <w:rFonts w:cstheme="minorHAnsi"/>
                <w:b/>
                <w:color w:val="000000" w:themeColor="text1"/>
                <w:sz w:val="24"/>
                <w:szCs w:val="24"/>
              </w:rPr>
              <w:t>Başvuran Aday Sayıları</w:t>
            </w:r>
          </w:p>
        </w:tc>
        <w:tc>
          <w:tcPr>
            <w:tcW w:w="1418" w:type="dxa"/>
            <w:vAlign w:val="center"/>
          </w:tcPr>
          <w:p w14:paraId="4CC0FA0B" w14:textId="77777777" w:rsidR="00D9330B" w:rsidRPr="00E62FB5" w:rsidRDefault="00D9330B" w:rsidP="00286018">
            <w:pPr>
              <w:jc w:val="center"/>
              <w:rPr>
                <w:color w:val="000000" w:themeColor="text1"/>
                <w:szCs w:val="24"/>
              </w:rPr>
            </w:pPr>
            <w:r w:rsidRPr="00E62FB5">
              <w:rPr>
                <w:color w:val="000000" w:themeColor="text1"/>
                <w:szCs w:val="24"/>
              </w:rPr>
              <w:t>2.265.844</w:t>
            </w:r>
          </w:p>
        </w:tc>
        <w:tc>
          <w:tcPr>
            <w:tcW w:w="1564" w:type="dxa"/>
            <w:vAlign w:val="center"/>
          </w:tcPr>
          <w:p w14:paraId="22455F06" w14:textId="77777777" w:rsidR="00D9330B" w:rsidRPr="00E62FB5" w:rsidRDefault="00D9330B" w:rsidP="00286018">
            <w:pPr>
              <w:jc w:val="center"/>
              <w:rPr>
                <w:color w:val="000000" w:themeColor="text1"/>
                <w:szCs w:val="24"/>
              </w:rPr>
            </w:pPr>
            <w:r w:rsidRPr="00E62FB5">
              <w:rPr>
                <w:color w:val="000000" w:themeColor="text1"/>
                <w:szCs w:val="24"/>
              </w:rPr>
              <w:t>2.381.412</w:t>
            </w:r>
          </w:p>
        </w:tc>
        <w:tc>
          <w:tcPr>
            <w:tcW w:w="1258" w:type="dxa"/>
            <w:vAlign w:val="center"/>
          </w:tcPr>
          <w:p w14:paraId="5A5B39A7" w14:textId="77777777" w:rsidR="00D9330B" w:rsidRPr="00E62FB5" w:rsidRDefault="00D9330B" w:rsidP="00286018">
            <w:pPr>
              <w:jc w:val="center"/>
              <w:rPr>
                <w:color w:val="000000" w:themeColor="text1"/>
                <w:szCs w:val="24"/>
              </w:rPr>
            </w:pPr>
            <w:r w:rsidRPr="00E62FB5">
              <w:rPr>
                <w:color w:val="000000" w:themeColor="text1"/>
                <w:szCs w:val="24"/>
              </w:rPr>
              <w:t>2.528.031</w:t>
            </w:r>
          </w:p>
        </w:tc>
        <w:tc>
          <w:tcPr>
            <w:tcW w:w="1224" w:type="dxa"/>
            <w:vAlign w:val="center"/>
          </w:tcPr>
          <w:p w14:paraId="78BF98A7" w14:textId="77777777" w:rsidR="00D9330B" w:rsidRPr="00E62FB5" w:rsidRDefault="00D9330B" w:rsidP="00286018">
            <w:pPr>
              <w:jc w:val="center"/>
              <w:rPr>
                <w:color w:val="000000" w:themeColor="text1"/>
                <w:szCs w:val="24"/>
              </w:rPr>
            </w:pPr>
            <w:r w:rsidRPr="00E62FB5">
              <w:rPr>
                <w:color w:val="000000" w:themeColor="text1"/>
                <w:szCs w:val="24"/>
              </w:rPr>
              <w:t>2.436.958</w:t>
            </w:r>
          </w:p>
        </w:tc>
      </w:tr>
      <w:tr w:rsidR="00D9330B" w:rsidRPr="00661BD9" w14:paraId="445CF94E" w14:textId="77777777" w:rsidTr="00286018">
        <w:trPr>
          <w:trHeight w:val="457"/>
        </w:trPr>
        <w:tc>
          <w:tcPr>
            <w:tcW w:w="4649" w:type="dxa"/>
            <w:shd w:val="clear" w:color="auto" w:fill="DBE5F1" w:themeFill="accent1" w:themeFillTint="33"/>
            <w:vAlign w:val="center"/>
          </w:tcPr>
          <w:p w14:paraId="432D495A" w14:textId="77777777" w:rsidR="00D9330B" w:rsidRPr="00E62FB5" w:rsidRDefault="00D9330B" w:rsidP="00286018">
            <w:pPr>
              <w:jc w:val="both"/>
              <w:rPr>
                <w:rFonts w:cstheme="minorHAnsi"/>
                <w:b/>
                <w:color w:val="000000" w:themeColor="text1"/>
                <w:sz w:val="24"/>
                <w:szCs w:val="24"/>
              </w:rPr>
            </w:pPr>
            <w:proofErr w:type="spellStart"/>
            <w:r w:rsidRPr="00E62FB5">
              <w:rPr>
                <w:rFonts w:cstheme="minorHAnsi"/>
                <w:b/>
                <w:color w:val="000000" w:themeColor="text1"/>
                <w:sz w:val="24"/>
                <w:szCs w:val="24"/>
              </w:rPr>
              <w:t>Önlisans</w:t>
            </w:r>
            <w:proofErr w:type="spellEnd"/>
            <w:r w:rsidRPr="00E62FB5">
              <w:rPr>
                <w:rFonts w:cstheme="minorHAnsi"/>
                <w:b/>
                <w:color w:val="000000" w:themeColor="text1"/>
                <w:sz w:val="24"/>
                <w:szCs w:val="24"/>
              </w:rPr>
              <w:t xml:space="preserve"> Programlarının Kontenjanları </w:t>
            </w:r>
          </w:p>
        </w:tc>
        <w:tc>
          <w:tcPr>
            <w:tcW w:w="1418" w:type="dxa"/>
            <w:vAlign w:val="center"/>
          </w:tcPr>
          <w:p w14:paraId="3B63DFA8" w14:textId="77777777" w:rsidR="00D9330B" w:rsidRPr="00E62FB5" w:rsidRDefault="00D9330B" w:rsidP="00286018">
            <w:pPr>
              <w:jc w:val="center"/>
              <w:rPr>
                <w:color w:val="000000" w:themeColor="text1"/>
                <w:szCs w:val="24"/>
              </w:rPr>
            </w:pPr>
            <w:r w:rsidRPr="00E62FB5">
              <w:rPr>
                <w:color w:val="000000" w:themeColor="text1"/>
                <w:szCs w:val="24"/>
              </w:rPr>
              <w:t>436.904</w:t>
            </w:r>
          </w:p>
        </w:tc>
        <w:tc>
          <w:tcPr>
            <w:tcW w:w="1564" w:type="dxa"/>
            <w:vAlign w:val="center"/>
          </w:tcPr>
          <w:p w14:paraId="01880155" w14:textId="77777777" w:rsidR="00D9330B" w:rsidRPr="00E62FB5" w:rsidRDefault="00D9330B" w:rsidP="00286018">
            <w:pPr>
              <w:jc w:val="center"/>
              <w:rPr>
                <w:color w:val="000000" w:themeColor="text1"/>
                <w:szCs w:val="24"/>
              </w:rPr>
            </w:pPr>
            <w:r w:rsidRPr="00E62FB5">
              <w:rPr>
                <w:color w:val="000000" w:themeColor="text1"/>
                <w:szCs w:val="24"/>
              </w:rPr>
              <w:t>354.859</w:t>
            </w:r>
          </w:p>
        </w:tc>
        <w:tc>
          <w:tcPr>
            <w:tcW w:w="1258" w:type="dxa"/>
            <w:vAlign w:val="center"/>
          </w:tcPr>
          <w:p w14:paraId="59A7D06D" w14:textId="77777777" w:rsidR="00D9330B" w:rsidRPr="00E62FB5" w:rsidRDefault="00D9330B" w:rsidP="00286018">
            <w:pPr>
              <w:jc w:val="center"/>
              <w:rPr>
                <w:color w:val="000000" w:themeColor="text1"/>
                <w:szCs w:val="24"/>
              </w:rPr>
            </w:pPr>
            <w:r w:rsidRPr="00E62FB5">
              <w:rPr>
                <w:color w:val="000000" w:themeColor="text1"/>
                <w:szCs w:val="24"/>
              </w:rPr>
              <w:t>376.940</w:t>
            </w:r>
          </w:p>
        </w:tc>
        <w:tc>
          <w:tcPr>
            <w:tcW w:w="1224" w:type="dxa"/>
            <w:vAlign w:val="center"/>
          </w:tcPr>
          <w:p w14:paraId="15F3C86F" w14:textId="77777777" w:rsidR="00D9330B" w:rsidRPr="00E62FB5" w:rsidRDefault="00D9330B" w:rsidP="00286018">
            <w:pPr>
              <w:jc w:val="center"/>
              <w:rPr>
                <w:color w:val="000000" w:themeColor="text1"/>
                <w:szCs w:val="24"/>
              </w:rPr>
            </w:pPr>
            <w:r>
              <w:rPr>
                <w:color w:val="000000" w:themeColor="text1"/>
                <w:szCs w:val="24"/>
              </w:rPr>
              <w:t>380.172</w:t>
            </w:r>
          </w:p>
        </w:tc>
      </w:tr>
      <w:tr w:rsidR="00D9330B" w:rsidRPr="00661BD9" w14:paraId="45C257FF" w14:textId="77777777" w:rsidTr="00286018">
        <w:trPr>
          <w:trHeight w:val="406"/>
        </w:trPr>
        <w:tc>
          <w:tcPr>
            <w:tcW w:w="4649" w:type="dxa"/>
            <w:shd w:val="clear" w:color="auto" w:fill="DBE5F1" w:themeFill="accent1" w:themeFillTint="33"/>
            <w:vAlign w:val="center"/>
          </w:tcPr>
          <w:p w14:paraId="3DD4FAE8" w14:textId="77777777" w:rsidR="00D9330B" w:rsidRPr="00E62FB5" w:rsidRDefault="00D9330B" w:rsidP="00286018">
            <w:pPr>
              <w:rPr>
                <w:rFonts w:cstheme="minorHAnsi"/>
                <w:b/>
                <w:color w:val="000000" w:themeColor="text1"/>
                <w:sz w:val="24"/>
                <w:szCs w:val="24"/>
              </w:rPr>
            </w:pPr>
            <w:r w:rsidRPr="00E62FB5">
              <w:rPr>
                <w:rFonts w:cstheme="minorHAnsi"/>
                <w:b/>
                <w:color w:val="000000" w:themeColor="text1"/>
                <w:sz w:val="24"/>
                <w:szCs w:val="24"/>
              </w:rPr>
              <w:t>Lisans Programlarının Kontenjanları</w:t>
            </w:r>
          </w:p>
        </w:tc>
        <w:tc>
          <w:tcPr>
            <w:tcW w:w="1418" w:type="dxa"/>
            <w:vAlign w:val="center"/>
          </w:tcPr>
          <w:p w14:paraId="2EAA5A64" w14:textId="77777777" w:rsidR="00D9330B" w:rsidRPr="00E62FB5" w:rsidRDefault="00D9330B" w:rsidP="00286018">
            <w:pPr>
              <w:jc w:val="center"/>
              <w:rPr>
                <w:color w:val="000000" w:themeColor="text1"/>
                <w:szCs w:val="24"/>
              </w:rPr>
            </w:pPr>
            <w:r w:rsidRPr="00E62FB5">
              <w:rPr>
                <w:color w:val="000000" w:themeColor="text1"/>
                <w:szCs w:val="24"/>
              </w:rPr>
              <w:t>473.767</w:t>
            </w:r>
          </w:p>
        </w:tc>
        <w:tc>
          <w:tcPr>
            <w:tcW w:w="1564" w:type="dxa"/>
            <w:vAlign w:val="center"/>
          </w:tcPr>
          <w:p w14:paraId="585A8C70" w14:textId="77777777" w:rsidR="00D9330B" w:rsidRPr="00E62FB5" w:rsidRDefault="00D9330B" w:rsidP="00286018">
            <w:pPr>
              <w:jc w:val="center"/>
              <w:rPr>
                <w:color w:val="000000" w:themeColor="text1"/>
                <w:szCs w:val="24"/>
              </w:rPr>
            </w:pPr>
            <w:r w:rsidRPr="00E62FB5">
              <w:rPr>
                <w:color w:val="000000" w:themeColor="text1"/>
                <w:szCs w:val="24"/>
              </w:rPr>
              <w:t>484.631</w:t>
            </w:r>
          </w:p>
        </w:tc>
        <w:tc>
          <w:tcPr>
            <w:tcW w:w="1258" w:type="dxa"/>
            <w:vAlign w:val="center"/>
          </w:tcPr>
          <w:p w14:paraId="24CA83EC" w14:textId="77777777" w:rsidR="00D9330B" w:rsidRPr="00E62FB5" w:rsidRDefault="00D9330B" w:rsidP="00286018">
            <w:pPr>
              <w:jc w:val="center"/>
              <w:rPr>
                <w:color w:val="000000" w:themeColor="text1"/>
                <w:szCs w:val="24"/>
              </w:rPr>
            </w:pPr>
            <w:r w:rsidRPr="00E62FB5">
              <w:rPr>
                <w:color w:val="000000" w:themeColor="text1"/>
                <w:szCs w:val="24"/>
              </w:rPr>
              <w:t>447.754</w:t>
            </w:r>
          </w:p>
        </w:tc>
        <w:tc>
          <w:tcPr>
            <w:tcW w:w="1224" w:type="dxa"/>
            <w:vAlign w:val="center"/>
          </w:tcPr>
          <w:p w14:paraId="0833C968" w14:textId="77777777" w:rsidR="00D9330B" w:rsidRPr="00E62FB5" w:rsidRDefault="00D9330B" w:rsidP="00286018">
            <w:pPr>
              <w:jc w:val="center"/>
              <w:rPr>
                <w:color w:val="000000" w:themeColor="text1"/>
                <w:szCs w:val="24"/>
              </w:rPr>
            </w:pPr>
            <w:r w:rsidRPr="00E62FB5">
              <w:rPr>
                <w:color w:val="000000" w:themeColor="text1"/>
                <w:szCs w:val="24"/>
              </w:rPr>
              <w:t>458.049</w:t>
            </w:r>
          </w:p>
        </w:tc>
      </w:tr>
      <w:tr w:rsidR="00D9330B" w:rsidRPr="00661BD9" w14:paraId="1C35E0C6" w14:textId="77777777" w:rsidTr="00286018">
        <w:trPr>
          <w:trHeight w:val="364"/>
        </w:trPr>
        <w:tc>
          <w:tcPr>
            <w:tcW w:w="4649" w:type="dxa"/>
            <w:shd w:val="clear" w:color="auto" w:fill="DBE5F1" w:themeFill="accent1" w:themeFillTint="33"/>
            <w:vAlign w:val="center"/>
          </w:tcPr>
          <w:p w14:paraId="4BB6BAD6" w14:textId="77777777" w:rsidR="00D9330B" w:rsidRPr="00E62FB5" w:rsidRDefault="00D9330B" w:rsidP="00286018">
            <w:pPr>
              <w:jc w:val="both"/>
              <w:rPr>
                <w:rFonts w:cstheme="minorHAnsi"/>
                <w:b/>
                <w:color w:val="000000" w:themeColor="text1"/>
                <w:sz w:val="24"/>
                <w:szCs w:val="24"/>
              </w:rPr>
            </w:pPr>
            <w:r w:rsidRPr="00E62FB5">
              <w:rPr>
                <w:rFonts w:cstheme="minorHAnsi"/>
                <w:b/>
                <w:color w:val="000000" w:themeColor="text1"/>
                <w:sz w:val="24"/>
                <w:szCs w:val="24"/>
              </w:rPr>
              <w:t xml:space="preserve">Toplam Kontenjan Sayısı </w:t>
            </w:r>
          </w:p>
        </w:tc>
        <w:tc>
          <w:tcPr>
            <w:tcW w:w="1418" w:type="dxa"/>
            <w:vAlign w:val="center"/>
          </w:tcPr>
          <w:p w14:paraId="3C2A7E7B" w14:textId="77777777" w:rsidR="00D9330B" w:rsidRPr="00E62FB5" w:rsidRDefault="00D9330B" w:rsidP="00286018">
            <w:pPr>
              <w:jc w:val="center"/>
              <w:rPr>
                <w:color w:val="000000" w:themeColor="text1"/>
                <w:szCs w:val="24"/>
              </w:rPr>
            </w:pPr>
            <w:r w:rsidRPr="00E62FB5">
              <w:rPr>
                <w:color w:val="000000" w:themeColor="text1"/>
                <w:szCs w:val="24"/>
              </w:rPr>
              <w:t>910.671</w:t>
            </w:r>
          </w:p>
        </w:tc>
        <w:tc>
          <w:tcPr>
            <w:tcW w:w="1564" w:type="dxa"/>
            <w:vAlign w:val="center"/>
          </w:tcPr>
          <w:p w14:paraId="45430D40" w14:textId="77777777" w:rsidR="00D9330B" w:rsidRPr="00E62FB5" w:rsidRDefault="00D9330B" w:rsidP="00286018">
            <w:pPr>
              <w:jc w:val="center"/>
              <w:rPr>
                <w:color w:val="000000" w:themeColor="text1"/>
                <w:szCs w:val="24"/>
              </w:rPr>
            </w:pPr>
            <w:r w:rsidRPr="00E62FB5">
              <w:rPr>
                <w:color w:val="000000" w:themeColor="text1"/>
                <w:szCs w:val="24"/>
              </w:rPr>
              <w:t>839.490</w:t>
            </w:r>
          </w:p>
        </w:tc>
        <w:tc>
          <w:tcPr>
            <w:tcW w:w="1258" w:type="dxa"/>
            <w:vAlign w:val="center"/>
          </w:tcPr>
          <w:p w14:paraId="38601E8D" w14:textId="77777777" w:rsidR="00D9330B" w:rsidRPr="00E62FB5" w:rsidRDefault="00D9330B" w:rsidP="00286018">
            <w:pPr>
              <w:jc w:val="center"/>
              <w:rPr>
                <w:color w:val="000000" w:themeColor="text1"/>
                <w:szCs w:val="24"/>
              </w:rPr>
            </w:pPr>
            <w:r w:rsidRPr="00E62FB5">
              <w:rPr>
                <w:color w:val="000000" w:themeColor="text1"/>
                <w:szCs w:val="24"/>
              </w:rPr>
              <w:t>824.694</w:t>
            </w:r>
          </w:p>
        </w:tc>
        <w:tc>
          <w:tcPr>
            <w:tcW w:w="1224" w:type="dxa"/>
            <w:vAlign w:val="center"/>
          </w:tcPr>
          <w:p w14:paraId="5A80D9F1" w14:textId="77777777" w:rsidR="00D9330B" w:rsidRPr="00E62FB5" w:rsidRDefault="00D9330B" w:rsidP="00286018">
            <w:pPr>
              <w:jc w:val="center"/>
              <w:rPr>
                <w:color w:val="000000" w:themeColor="text1"/>
                <w:szCs w:val="24"/>
              </w:rPr>
            </w:pPr>
            <w:r>
              <w:rPr>
                <w:color w:val="000000" w:themeColor="text1"/>
                <w:szCs w:val="24"/>
              </w:rPr>
              <w:t>838.221</w:t>
            </w:r>
          </w:p>
        </w:tc>
      </w:tr>
    </w:tbl>
    <w:p w14:paraId="59FCC6D2" w14:textId="77777777" w:rsidR="00D9330B" w:rsidRDefault="00D9330B" w:rsidP="00D9330B">
      <w:pPr>
        <w:pStyle w:val="GvdeMetni"/>
        <w:spacing w:before="7"/>
        <w:rPr>
          <w:b/>
          <w:sz w:val="35"/>
        </w:rPr>
      </w:pPr>
    </w:p>
    <w:p w14:paraId="51645DA6" w14:textId="77777777" w:rsidR="00D9330B" w:rsidRPr="001A1F42" w:rsidRDefault="00D9330B" w:rsidP="00D9330B">
      <w:pPr>
        <w:pStyle w:val="GvdeMetni"/>
        <w:spacing w:line="360" w:lineRule="auto"/>
        <w:ind w:left="178" w:right="324" w:firstLine="720"/>
        <w:jc w:val="both"/>
        <w:rPr>
          <w:rFonts w:asciiTheme="majorBidi" w:hAnsiTheme="majorBidi" w:cstheme="majorBidi"/>
        </w:rPr>
      </w:pPr>
      <w:r w:rsidRPr="001A1F42">
        <w:rPr>
          <w:rFonts w:asciiTheme="majorBidi" w:hAnsiTheme="majorBidi" w:cstheme="majorBidi"/>
        </w:rPr>
        <w:t xml:space="preserve">Bu yıl </w:t>
      </w:r>
      <w:proofErr w:type="spellStart"/>
      <w:r w:rsidRPr="001A1F42">
        <w:rPr>
          <w:rFonts w:asciiTheme="majorBidi" w:hAnsiTheme="majorBidi" w:cstheme="majorBidi"/>
        </w:rPr>
        <w:t>YKS’ye</w:t>
      </w:r>
      <w:proofErr w:type="spellEnd"/>
      <w:r w:rsidRPr="001A1F42">
        <w:rPr>
          <w:rFonts w:asciiTheme="majorBidi" w:hAnsiTheme="majorBidi" w:cstheme="majorBidi"/>
        </w:rPr>
        <w:t xml:space="preserve"> başvuran aday sayısı 2 milyon 500 bine yaklaştı. </w:t>
      </w:r>
      <w:r w:rsidRPr="003153FC">
        <w:rPr>
          <w:rFonts w:asciiTheme="majorBidi" w:hAnsiTheme="majorBidi" w:cstheme="majorBidi"/>
        </w:rPr>
        <w:t>14</w:t>
      </w:r>
      <w:r>
        <w:rPr>
          <w:rFonts w:asciiTheme="majorBidi" w:hAnsiTheme="majorBidi" w:cstheme="majorBidi"/>
        </w:rPr>
        <w:t xml:space="preserve"> </w:t>
      </w:r>
      <w:r w:rsidRPr="001A1F42">
        <w:rPr>
          <w:rFonts w:asciiTheme="majorBidi" w:hAnsiTheme="majorBidi" w:cstheme="majorBidi"/>
        </w:rPr>
        <w:t xml:space="preserve">yıl önce, 2006 yılında ÖSYS’ye başvuran aday sayısı </w:t>
      </w:r>
      <w:r w:rsidRPr="001A1F42">
        <w:rPr>
          <w:rFonts w:asciiTheme="majorBidi" w:hAnsiTheme="majorBidi" w:cstheme="majorBidi"/>
          <w:b/>
        </w:rPr>
        <w:t xml:space="preserve">1.678.383 </w:t>
      </w:r>
      <w:r w:rsidRPr="001A1F42">
        <w:rPr>
          <w:rFonts w:asciiTheme="majorBidi" w:hAnsiTheme="majorBidi" w:cstheme="majorBidi"/>
        </w:rPr>
        <w:t xml:space="preserve">iken, 2017 yılında bu sayı </w:t>
      </w:r>
      <w:r w:rsidRPr="001A1F42">
        <w:rPr>
          <w:rFonts w:asciiTheme="majorBidi" w:hAnsiTheme="majorBidi" w:cstheme="majorBidi"/>
          <w:b/>
        </w:rPr>
        <w:t>2.265.844</w:t>
      </w:r>
      <w:r w:rsidRPr="001A1F42">
        <w:rPr>
          <w:rFonts w:asciiTheme="majorBidi" w:hAnsiTheme="majorBidi" w:cstheme="majorBidi"/>
        </w:rPr>
        <w:t xml:space="preserve">, </w:t>
      </w:r>
      <w:proofErr w:type="spellStart"/>
      <w:r w:rsidRPr="001A1F42">
        <w:rPr>
          <w:rFonts w:asciiTheme="majorBidi" w:hAnsiTheme="majorBidi" w:cstheme="majorBidi"/>
        </w:rPr>
        <w:t>YKS’nin</w:t>
      </w:r>
      <w:proofErr w:type="spellEnd"/>
      <w:r w:rsidRPr="001A1F42">
        <w:rPr>
          <w:rFonts w:asciiTheme="majorBidi" w:hAnsiTheme="majorBidi" w:cstheme="majorBidi"/>
        </w:rPr>
        <w:t xml:space="preserve"> uygulamaya girdiği 2018 yılında </w:t>
      </w:r>
      <w:r w:rsidRPr="001A1F42">
        <w:rPr>
          <w:rFonts w:asciiTheme="majorBidi" w:hAnsiTheme="majorBidi" w:cstheme="majorBidi"/>
          <w:b/>
        </w:rPr>
        <w:t>2.381.412</w:t>
      </w:r>
      <w:r w:rsidRPr="001A1F42">
        <w:rPr>
          <w:rFonts w:asciiTheme="majorBidi" w:hAnsiTheme="majorBidi" w:cstheme="majorBidi"/>
        </w:rPr>
        <w:t xml:space="preserve">, 2019 yılında </w:t>
      </w:r>
      <w:r w:rsidRPr="001A1F42">
        <w:rPr>
          <w:rFonts w:asciiTheme="majorBidi" w:hAnsiTheme="majorBidi" w:cstheme="majorBidi"/>
          <w:b/>
        </w:rPr>
        <w:t xml:space="preserve">2.528.031, </w:t>
      </w:r>
      <w:r w:rsidRPr="001A1F42">
        <w:rPr>
          <w:rFonts w:asciiTheme="majorBidi" w:hAnsiTheme="majorBidi" w:cstheme="majorBidi"/>
        </w:rPr>
        <w:t xml:space="preserve">2020 yılında ise </w:t>
      </w:r>
      <w:r w:rsidRPr="001A1F42">
        <w:rPr>
          <w:rFonts w:asciiTheme="majorBidi" w:hAnsiTheme="majorBidi" w:cstheme="majorBidi"/>
          <w:b/>
        </w:rPr>
        <w:t>2.436.958</w:t>
      </w:r>
      <w:r w:rsidRPr="001A1F42">
        <w:rPr>
          <w:rFonts w:asciiTheme="majorBidi" w:hAnsiTheme="majorBidi" w:cstheme="majorBidi"/>
        </w:rPr>
        <w:t xml:space="preserve"> olmuştur.</w:t>
      </w:r>
    </w:p>
    <w:p w14:paraId="126990B5" w14:textId="77777777" w:rsidR="00D9330B" w:rsidRPr="001A1F42" w:rsidRDefault="00D9330B" w:rsidP="00D9330B">
      <w:pPr>
        <w:pStyle w:val="GvdeMetni"/>
        <w:spacing w:line="360" w:lineRule="auto"/>
        <w:ind w:left="178" w:right="324" w:firstLine="707"/>
        <w:jc w:val="both"/>
        <w:rPr>
          <w:rFonts w:asciiTheme="majorBidi" w:hAnsiTheme="majorBidi" w:cstheme="majorBidi"/>
          <w:b/>
          <w:color w:val="C00000"/>
        </w:rPr>
      </w:pPr>
      <w:r w:rsidRPr="001A1F42">
        <w:rPr>
          <w:rFonts w:asciiTheme="majorBidi" w:hAnsiTheme="majorBidi" w:cstheme="majorBidi"/>
        </w:rPr>
        <w:t>2006</w:t>
      </w:r>
      <w:r w:rsidRPr="001A1F42">
        <w:rPr>
          <w:rFonts w:asciiTheme="majorBidi" w:hAnsiTheme="majorBidi" w:cstheme="majorBidi"/>
          <w:spacing w:val="-5"/>
        </w:rPr>
        <w:t xml:space="preserve"> </w:t>
      </w:r>
      <w:r w:rsidRPr="001A1F42">
        <w:rPr>
          <w:rFonts w:asciiTheme="majorBidi" w:hAnsiTheme="majorBidi" w:cstheme="majorBidi"/>
        </w:rPr>
        <w:t>yılı</w:t>
      </w:r>
      <w:r w:rsidRPr="001A1F42">
        <w:rPr>
          <w:rFonts w:asciiTheme="majorBidi" w:hAnsiTheme="majorBidi" w:cstheme="majorBidi"/>
          <w:spacing w:val="-6"/>
        </w:rPr>
        <w:t xml:space="preserve"> </w:t>
      </w:r>
      <w:r w:rsidRPr="001A1F42">
        <w:rPr>
          <w:rFonts w:asciiTheme="majorBidi" w:hAnsiTheme="majorBidi" w:cstheme="majorBidi"/>
        </w:rPr>
        <w:t>baz</w:t>
      </w:r>
      <w:r w:rsidRPr="001A1F42">
        <w:rPr>
          <w:rFonts w:asciiTheme="majorBidi" w:hAnsiTheme="majorBidi" w:cstheme="majorBidi"/>
          <w:spacing w:val="-6"/>
        </w:rPr>
        <w:t xml:space="preserve"> </w:t>
      </w:r>
      <w:r w:rsidRPr="001A1F42">
        <w:rPr>
          <w:rFonts w:asciiTheme="majorBidi" w:hAnsiTheme="majorBidi" w:cstheme="majorBidi"/>
        </w:rPr>
        <w:t>alınarak</w:t>
      </w:r>
      <w:r w:rsidRPr="001A1F42">
        <w:rPr>
          <w:rFonts w:asciiTheme="majorBidi" w:hAnsiTheme="majorBidi" w:cstheme="majorBidi"/>
          <w:spacing w:val="-6"/>
        </w:rPr>
        <w:t xml:space="preserve"> </w:t>
      </w:r>
      <w:r w:rsidRPr="001A1F42">
        <w:rPr>
          <w:rFonts w:asciiTheme="majorBidi" w:hAnsiTheme="majorBidi" w:cstheme="majorBidi"/>
        </w:rPr>
        <w:t>başvuran</w:t>
      </w:r>
      <w:r w:rsidRPr="001A1F42">
        <w:rPr>
          <w:rFonts w:asciiTheme="majorBidi" w:hAnsiTheme="majorBidi" w:cstheme="majorBidi"/>
          <w:spacing w:val="-7"/>
        </w:rPr>
        <w:t xml:space="preserve"> </w:t>
      </w:r>
      <w:r w:rsidRPr="001A1F42">
        <w:rPr>
          <w:rFonts w:asciiTheme="majorBidi" w:hAnsiTheme="majorBidi" w:cstheme="majorBidi"/>
        </w:rPr>
        <w:t>aday</w:t>
      </w:r>
      <w:r w:rsidRPr="001A1F42">
        <w:rPr>
          <w:rFonts w:asciiTheme="majorBidi" w:hAnsiTheme="majorBidi" w:cstheme="majorBidi"/>
          <w:spacing w:val="-11"/>
        </w:rPr>
        <w:t xml:space="preserve"> </w:t>
      </w:r>
      <w:r w:rsidRPr="001A1F42">
        <w:rPr>
          <w:rFonts w:asciiTheme="majorBidi" w:hAnsiTheme="majorBidi" w:cstheme="majorBidi"/>
        </w:rPr>
        <w:t>sayıları</w:t>
      </w:r>
      <w:r w:rsidRPr="001A1F42">
        <w:rPr>
          <w:rFonts w:asciiTheme="majorBidi" w:hAnsiTheme="majorBidi" w:cstheme="majorBidi"/>
          <w:spacing w:val="-8"/>
        </w:rPr>
        <w:t xml:space="preserve"> </w:t>
      </w:r>
      <w:r w:rsidRPr="001A1F42">
        <w:rPr>
          <w:rFonts w:asciiTheme="majorBidi" w:hAnsiTheme="majorBidi" w:cstheme="majorBidi"/>
        </w:rPr>
        <w:t xml:space="preserve">değerlendirildiğinde </w:t>
      </w:r>
      <w:r w:rsidRPr="001A1F42">
        <w:rPr>
          <w:rFonts w:asciiTheme="majorBidi" w:hAnsiTheme="majorBidi" w:cstheme="majorBidi"/>
          <w:b/>
          <w:bCs/>
        </w:rPr>
        <w:t>2017</w:t>
      </w:r>
      <w:r w:rsidRPr="001A1F42">
        <w:rPr>
          <w:rFonts w:asciiTheme="majorBidi" w:hAnsiTheme="majorBidi" w:cstheme="majorBidi"/>
          <w:b/>
          <w:bCs/>
          <w:spacing w:val="-5"/>
        </w:rPr>
        <w:t xml:space="preserve"> </w:t>
      </w:r>
      <w:r w:rsidRPr="001A1F42">
        <w:rPr>
          <w:rFonts w:asciiTheme="majorBidi" w:hAnsiTheme="majorBidi" w:cstheme="majorBidi"/>
          <w:b/>
          <w:bCs/>
        </w:rPr>
        <w:t>yılında</w:t>
      </w:r>
      <w:r w:rsidRPr="001A1F42">
        <w:rPr>
          <w:rFonts w:asciiTheme="majorBidi" w:hAnsiTheme="majorBidi" w:cstheme="majorBidi"/>
          <w:b/>
          <w:bCs/>
          <w:spacing w:val="-3"/>
        </w:rPr>
        <w:t xml:space="preserve"> </w:t>
      </w:r>
      <w:r w:rsidRPr="001A1F42">
        <w:rPr>
          <w:rFonts w:asciiTheme="majorBidi" w:hAnsiTheme="majorBidi" w:cstheme="majorBidi"/>
          <w:b/>
          <w:bCs/>
        </w:rPr>
        <w:t>%35,</w:t>
      </w:r>
      <w:r w:rsidRPr="001A1F42">
        <w:rPr>
          <w:rFonts w:asciiTheme="majorBidi" w:hAnsiTheme="majorBidi" w:cstheme="majorBidi"/>
          <w:b/>
          <w:bCs/>
          <w:spacing w:val="-7"/>
        </w:rPr>
        <w:t xml:space="preserve"> </w:t>
      </w:r>
      <w:r w:rsidRPr="001A1F42">
        <w:rPr>
          <w:rFonts w:asciiTheme="majorBidi" w:hAnsiTheme="majorBidi" w:cstheme="majorBidi"/>
          <w:b/>
          <w:bCs/>
        </w:rPr>
        <w:t>2018</w:t>
      </w:r>
      <w:r w:rsidRPr="001A1F42">
        <w:rPr>
          <w:rFonts w:asciiTheme="majorBidi" w:hAnsiTheme="majorBidi" w:cstheme="majorBidi"/>
        </w:rPr>
        <w:t xml:space="preserve"> </w:t>
      </w:r>
      <w:r w:rsidRPr="001A1F42">
        <w:rPr>
          <w:rFonts w:asciiTheme="majorBidi" w:hAnsiTheme="majorBidi" w:cstheme="majorBidi"/>
          <w:b/>
          <w:bCs/>
        </w:rPr>
        <w:t>yılında</w:t>
      </w:r>
      <w:r w:rsidRPr="001A1F42">
        <w:rPr>
          <w:rFonts w:asciiTheme="majorBidi" w:hAnsiTheme="majorBidi" w:cstheme="majorBidi"/>
        </w:rPr>
        <w:t xml:space="preserve"> </w:t>
      </w:r>
      <w:r w:rsidRPr="001A1F42">
        <w:rPr>
          <w:rFonts w:asciiTheme="majorBidi" w:hAnsiTheme="majorBidi" w:cstheme="majorBidi"/>
          <w:b/>
        </w:rPr>
        <w:t>%42, 2019 yılında %51, 2020 yılında ise %45 oranında aday sayılarında artış olmuştur.</w:t>
      </w:r>
    </w:p>
    <w:p w14:paraId="76E13CB4" w14:textId="77777777" w:rsidR="00D9330B" w:rsidRPr="001A1F42" w:rsidRDefault="00D9330B" w:rsidP="00D9330B">
      <w:pPr>
        <w:pStyle w:val="NormalWeb"/>
        <w:spacing w:line="360" w:lineRule="auto"/>
        <w:ind w:firstLine="993"/>
        <w:jc w:val="both"/>
        <w:rPr>
          <w:rFonts w:asciiTheme="majorBidi" w:hAnsiTheme="majorBidi" w:cstheme="majorBidi"/>
        </w:rPr>
      </w:pPr>
      <w:r w:rsidRPr="001A1F42">
        <w:rPr>
          <w:rFonts w:asciiTheme="majorBidi" w:hAnsiTheme="majorBidi" w:cstheme="majorBidi"/>
        </w:rPr>
        <w:t xml:space="preserve">2019 </w:t>
      </w:r>
      <w:proofErr w:type="spellStart"/>
      <w:r w:rsidRPr="001A1F42">
        <w:rPr>
          <w:rFonts w:asciiTheme="majorBidi" w:hAnsiTheme="majorBidi" w:cstheme="majorBidi"/>
        </w:rPr>
        <w:t>YKS’ye</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başvuran</w:t>
      </w:r>
      <w:proofErr w:type="spellEnd"/>
      <w:r w:rsidRPr="001A1F42">
        <w:rPr>
          <w:rFonts w:asciiTheme="majorBidi" w:hAnsiTheme="majorBidi" w:cstheme="majorBidi"/>
        </w:rPr>
        <w:t xml:space="preserve"> aday sayısı </w:t>
      </w:r>
      <w:r w:rsidRPr="001A1F42">
        <w:rPr>
          <w:rFonts w:asciiTheme="majorBidi" w:hAnsiTheme="majorBidi" w:cstheme="majorBidi"/>
          <w:b/>
          <w:bCs/>
        </w:rPr>
        <w:t xml:space="preserve">2.528.031 </w:t>
      </w:r>
      <w:r w:rsidRPr="001A1F42">
        <w:rPr>
          <w:rFonts w:asciiTheme="majorBidi" w:hAnsiTheme="majorBidi" w:cstheme="majorBidi"/>
        </w:rPr>
        <w:t xml:space="preserve">iken bu yıl </w:t>
      </w:r>
      <w:proofErr w:type="spellStart"/>
      <w:r w:rsidRPr="001A1F42">
        <w:rPr>
          <w:rFonts w:asciiTheme="majorBidi" w:hAnsiTheme="majorBidi" w:cstheme="majorBidi"/>
        </w:rPr>
        <w:t>için</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başvuran</w:t>
      </w:r>
      <w:proofErr w:type="spellEnd"/>
      <w:r w:rsidRPr="001A1F42">
        <w:rPr>
          <w:rFonts w:asciiTheme="majorBidi" w:hAnsiTheme="majorBidi" w:cstheme="majorBidi"/>
        </w:rPr>
        <w:t xml:space="preserve"> aday sayısı </w:t>
      </w:r>
      <w:r w:rsidRPr="001A1F42">
        <w:rPr>
          <w:rFonts w:asciiTheme="majorBidi" w:hAnsiTheme="majorBidi" w:cstheme="majorBidi"/>
          <w:b/>
          <w:bCs/>
        </w:rPr>
        <w:t xml:space="preserve">2.436.958 </w:t>
      </w:r>
      <w:proofErr w:type="spellStart"/>
      <w:r w:rsidRPr="001A1F42">
        <w:rPr>
          <w:rFonts w:asciiTheme="majorBidi" w:hAnsiTheme="majorBidi" w:cstheme="majorBidi"/>
        </w:rPr>
        <w:t>olmuştur</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Geçen</w:t>
      </w:r>
      <w:proofErr w:type="spellEnd"/>
      <w:r w:rsidRPr="001A1F42">
        <w:rPr>
          <w:rFonts w:asciiTheme="majorBidi" w:hAnsiTheme="majorBidi" w:cstheme="majorBidi"/>
        </w:rPr>
        <w:t xml:space="preserve"> sene lise son sınıf </w:t>
      </w:r>
      <w:proofErr w:type="spellStart"/>
      <w:r w:rsidRPr="001A1F42">
        <w:rPr>
          <w:rFonts w:asciiTheme="majorBidi" w:hAnsiTheme="majorBidi" w:cstheme="majorBidi"/>
        </w:rPr>
        <w:t>düzeyinde</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YKS’ye</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başvuran</w:t>
      </w:r>
      <w:proofErr w:type="spellEnd"/>
      <w:r w:rsidRPr="001A1F42">
        <w:rPr>
          <w:rFonts w:asciiTheme="majorBidi" w:hAnsiTheme="majorBidi" w:cstheme="majorBidi"/>
        </w:rPr>
        <w:t xml:space="preserve"> aday </w:t>
      </w:r>
      <w:proofErr w:type="gramStart"/>
      <w:r w:rsidRPr="001A1F42">
        <w:rPr>
          <w:rFonts w:asciiTheme="majorBidi" w:hAnsiTheme="majorBidi" w:cstheme="majorBidi"/>
        </w:rPr>
        <w:t xml:space="preserve">sayısı </w:t>
      </w:r>
      <w:r w:rsidRPr="001A1F42">
        <w:rPr>
          <w:rFonts w:asciiTheme="majorBidi" w:hAnsiTheme="majorBidi" w:cstheme="majorBidi"/>
          <w:b/>
          <w:bCs/>
        </w:rPr>
        <w:t xml:space="preserve"> </w:t>
      </w:r>
      <w:r w:rsidRPr="001A1F42">
        <w:rPr>
          <w:rFonts w:asciiTheme="majorBidi" w:hAnsiTheme="majorBidi" w:cstheme="majorBidi"/>
          <w:b/>
        </w:rPr>
        <w:t>983.701</w:t>
      </w:r>
      <w:proofErr w:type="gramEnd"/>
      <w:r w:rsidRPr="001A1F42">
        <w:rPr>
          <w:rFonts w:asciiTheme="majorBidi" w:hAnsiTheme="majorBidi" w:cstheme="majorBidi"/>
        </w:rPr>
        <w:t xml:space="preserve"> iken bu yıl </w:t>
      </w:r>
      <w:r w:rsidRPr="001A1F42">
        <w:rPr>
          <w:rFonts w:asciiTheme="majorBidi" w:hAnsiTheme="majorBidi" w:cstheme="majorBidi"/>
          <w:b/>
          <w:bCs/>
        </w:rPr>
        <w:t>894.187’</w:t>
      </w:r>
      <w:r w:rsidRPr="001A1F42">
        <w:rPr>
          <w:rFonts w:asciiTheme="majorBidi" w:hAnsiTheme="majorBidi" w:cstheme="majorBidi"/>
        </w:rPr>
        <w:t xml:space="preserve">dir. </w:t>
      </w:r>
    </w:p>
    <w:p w14:paraId="39E2B423" w14:textId="77777777" w:rsidR="00D9330B" w:rsidRPr="001A1F42" w:rsidRDefault="00D9330B" w:rsidP="00D9330B">
      <w:pPr>
        <w:pStyle w:val="NormalWeb"/>
        <w:spacing w:line="360" w:lineRule="auto"/>
        <w:ind w:left="142" w:firstLine="993"/>
        <w:jc w:val="both"/>
        <w:rPr>
          <w:rFonts w:asciiTheme="majorBidi" w:hAnsiTheme="majorBidi" w:cstheme="majorBidi"/>
        </w:rPr>
      </w:pPr>
      <w:r w:rsidRPr="001A1F42">
        <w:rPr>
          <w:rFonts w:asciiTheme="majorBidi" w:hAnsiTheme="majorBidi" w:cstheme="majorBidi"/>
        </w:rPr>
        <w:lastRenderedPageBreak/>
        <w:t xml:space="preserve">Bununla birlikte, </w:t>
      </w:r>
      <w:proofErr w:type="spellStart"/>
      <w:r w:rsidRPr="001A1F42">
        <w:rPr>
          <w:rFonts w:asciiTheme="majorBidi" w:hAnsiTheme="majorBidi" w:cstheme="majorBidi"/>
        </w:rPr>
        <w:t>YKS’ye</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başvuran</w:t>
      </w:r>
      <w:proofErr w:type="spellEnd"/>
      <w:r w:rsidRPr="001A1F42">
        <w:rPr>
          <w:rFonts w:asciiTheme="majorBidi" w:hAnsiTheme="majorBidi" w:cstheme="majorBidi"/>
        </w:rPr>
        <w:t xml:space="preserve"> adaylar </w:t>
      </w:r>
      <w:proofErr w:type="spellStart"/>
      <w:r w:rsidRPr="001A1F42">
        <w:rPr>
          <w:rFonts w:asciiTheme="majorBidi" w:hAnsiTheme="majorBidi" w:cstheme="majorBidi"/>
        </w:rPr>
        <w:t>içinde</w:t>
      </w:r>
      <w:proofErr w:type="spellEnd"/>
      <w:r w:rsidRPr="001A1F42">
        <w:rPr>
          <w:rFonts w:asciiTheme="majorBidi" w:hAnsiTheme="majorBidi" w:cstheme="majorBidi"/>
        </w:rPr>
        <w:t xml:space="preserve"> daha </w:t>
      </w:r>
      <w:proofErr w:type="spellStart"/>
      <w:r w:rsidRPr="001A1F42">
        <w:rPr>
          <w:rFonts w:asciiTheme="majorBidi" w:hAnsiTheme="majorBidi" w:cstheme="majorBidi"/>
        </w:rPr>
        <w:t>önce</w:t>
      </w:r>
      <w:proofErr w:type="spellEnd"/>
      <w:r w:rsidRPr="001A1F42">
        <w:rPr>
          <w:rFonts w:asciiTheme="majorBidi" w:hAnsiTheme="majorBidi" w:cstheme="majorBidi"/>
        </w:rPr>
        <w:t xml:space="preserve"> bir programa </w:t>
      </w:r>
      <w:proofErr w:type="spellStart"/>
      <w:r w:rsidRPr="001A1F42">
        <w:rPr>
          <w:rFonts w:asciiTheme="majorBidi" w:hAnsiTheme="majorBidi" w:cstheme="majorBidi"/>
        </w:rPr>
        <w:t>yerleşmis</w:t>
      </w:r>
      <w:proofErr w:type="spellEnd"/>
      <w:r w:rsidRPr="001A1F42">
        <w:rPr>
          <w:rFonts w:asciiTheme="majorBidi" w:hAnsiTheme="majorBidi" w:cstheme="majorBidi"/>
        </w:rPr>
        <w:t xml:space="preserve">̧ olan aday sayısı 2018 </w:t>
      </w:r>
      <w:proofErr w:type="spellStart"/>
      <w:r w:rsidRPr="001A1F42">
        <w:rPr>
          <w:rFonts w:asciiTheme="majorBidi" w:hAnsiTheme="majorBidi" w:cstheme="majorBidi"/>
        </w:rPr>
        <w:t>YKS’de</w:t>
      </w:r>
      <w:proofErr w:type="spellEnd"/>
      <w:r w:rsidRPr="001A1F42">
        <w:rPr>
          <w:rFonts w:asciiTheme="majorBidi" w:hAnsiTheme="majorBidi" w:cstheme="majorBidi"/>
        </w:rPr>
        <w:t xml:space="preserve"> </w:t>
      </w:r>
      <w:r w:rsidRPr="001A1F42">
        <w:rPr>
          <w:rFonts w:asciiTheme="majorBidi" w:hAnsiTheme="majorBidi" w:cstheme="majorBidi"/>
          <w:b/>
          <w:bCs/>
        </w:rPr>
        <w:t xml:space="preserve">397.614 </w:t>
      </w:r>
      <w:r w:rsidRPr="001A1F42">
        <w:rPr>
          <w:rFonts w:asciiTheme="majorBidi" w:hAnsiTheme="majorBidi" w:cstheme="majorBidi"/>
        </w:rPr>
        <w:t xml:space="preserve">iken, 2019-YKS’de </w:t>
      </w:r>
      <w:r w:rsidRPr="001A1F42">
        <w:rPr>
          <w:rFonts w:asciiTheme="majorBidi" w:hAnsiTheme="majorBidi" w:cstheme="majorBidi"/>
          <w:b/>
          <w:bCs/>
        </w:rPr>
        <w:t>374.795</w:t>
      </w:r>
      <w:r w:rsidRPr="001A1F42">
        <w:rPr>
          <w:rFonts w:asciiTheme="majorBidi" w:hAnsiTheme="majorBidi" w:cstheme="majorBidi"/>
        </w:rPr>
        <w:t>’</w:t>
      </w:r>
      <w:proofErr w:type="gramStart"/>
      <w:r w:rsidRPr="001A1F42">
        <w:rPr>
          <w:rFonts w:asciiTheme="majorBidi" w:hAnsiTheme="majorBidi" w:cstheme="majorBidi"/>
        </w:rPr>
        <w:t>e,</w:t>
      </w:r>
      <w:r w:rsidRPr="001A1F42">
        <w:rPr>
          <w:rFonts w:asciiTheme="majorBidi" w:hAnsiTheme="majorBidi" w:cstheme="majorBidi"/>
          <w:color w:val="C00000"/>
        </w:rPr>
        <w:t xml:space="preserve"> </w:t>
      </w:r>
      <w:r w:rsidRPr="001A1F42">
        <w:rPr>
          <w:rFonts w:asciiTheme="majorBidi" w:hAnsiTheme="majorBidi" w:cstheme="majorBidi"/>
        </w:rPr>
        <w:t xml:space="preserve"> bu</w:t>
      </w:r>
      <w:proofErr w:type="gramEnd"/>
      <w:r w:rsidRPr="001A1F42">
        <w:rPr>
          <w:rFonts w:asciiTheme="majorBidi" w:hAnsiTheme="majorBidi" w:cstheme="majorBidi"/>
        </w:rPr>
        <w:t xml:space="preserve"> yıl ise </w:t>
      </w:r>
      <w:r w:rsidRPr="001A1F42">
        <w:rPr>
          <w:rFonts w:asciiTheme="majorBidi" w:hAnsiTheme="majorBidi" w:cstheme="majorBidi"/>
          <w:b/>
          <w:bCs/>
        </w:rPr>
        <w:t>335.347</w:t>
      </w:r>
      <w:r w:rsidRPr="001A1F42">
        <w:rPr>
          <w:rFonts w:asciiTheme="majorBidi" w:hAnsiTheme="majorBidi" w:cstheme="majorBidi"/>
        </w:rPr>
        <w:t xml:space="preserve">’ye </w:t>
      </w:r>
      <w:proofErr w:type="spellStart"/>
      <w:r w:rsidRPr="001A1F42">
        <w:rPr>
          <w:rFonts w:asciiTheme="majorBidi" w:hAnsiTheme="majorBidi" w:cstheme="majorBidi"/>
        </w:rPr>
        <w:t>gerilemiştir</w:t>
      </w:r>
      <w:proofErr w:type="spellEnd"/>
      <w:r w:rsidRPr="001A1F42">
        <w:rPr>
          <w:rFonts w:asciiTheme="majorBidi" w:hAnsiTheme="majorBidi" w:cstheme="majorBidi"/>
        </w:rPr>
        <w:t xml:space="preserve">. Daha </w:t>
      </w:r>
      <w:proofErr w:type="spellStart"/>
      <w:r w:rsidRPr="001A1F42">
        <w:rPr>
          <w:rFonts w:asciiTheme="majorBidi" w:hAnsiTheme="majorBidi" w:cstheme="majorBidi"/>
        </w:rPr>
        <w:t>önce</w:t>
      </w:r>
      <w:proofErr w:type="spellEnd"/>
      <w:r w:rsidRPr="001A1F42">
        <w:rPr>
          <w:rFonts w:asciiTheme="majorBidi" w:hAnsiTheme="majorBidi" w:cstheme="majorBidi"/>
        </w:rPr>
        <w:t xml:space="preserve"> bir programa </w:t>
      </w:r>
      <w:proofErr w:type="spellStart"/>
      <w:r w:rsidRPr="001A1F42">
        <w:rPr>
          <w:rFonts w:asciiTheme="majorBidi" w:hAnsiTheme="majorBidi" w:cstheme="majorBidi"/>
        </w:rPr>
        <w:t>yerleşen</w:t>
      </w:r>
      <w:proofErr w:type="spellEnd"/>
      <w:r w:rsidRPr="001A1F42">
        <w:rPr>
          <w:rFonts w:asciiTheme="majorBidi" w:hAnsiTheme="majorBidi" w:cstheme="majorBidi"/>
        </w:rPr>
        <w:t xml:space="preserve"> ve </w:t>
      </w:r>
      <w:proofErr w:type="spellStart"/>
      <w:r w:rsidRPr="001A1F42">
        <w:rPr>
          <w:rFonts w:asciiTheme="majorBidi" w:hAnsiTheme="majorBidi" w:cstheme="majorBidi"/>
        </w:rPr>
        <w:t>öğrenciliği</w:t>
      </w:r>
      <w:proofErr w:type="spellEnd"/>
      <w:r w:rsidRPr="001A1F42">
        <w:rPr>
          <w:rFonts w:asciiTheme="majorBidi" w:hAnsiTheme="majorBidi" w:cstheme="majorBidi"/>
        </w:rPr>
        <w:t xml:space="preserve"> devam edenlerin tekrar sınava </w:t>
      </w:r>
      <w:proofErr w:type="spellStart"/>
      <w:r w:rsidRPr="001A1F42">
        <w:rPr>
          <w:rFonts w:asciiTheme="majorBidi" w:hAnsiTheme="majorBidi" w:cstheme="majorBidi"/>
        </w:rPr>
        <w:t>başvuru</w:t>
      </w:r>
      <w:proofErr w:type="spellEnd"/>
      <w:r w:rsidRPr="001A1F42">
        <w:rPr>
          <w:rFonts w:asciiTheme="majorBidi" w:hAnsiTheme="majorBidi" w:cstheme="majorBidi"/>
        </w:rPr>
        <w:t xml:space="preserve"> sayısında “</w:t>
      </w:r>
      <w:proofErr w:type="spellStart"/>
      <w:r w:rsidRPr="001A1F42">
        <w:rPr>
          <w:rFonts w:asciiTheme="majorBidi" w:hAnsiTheme="majorBidi" w:cstheme="majorBidi"/>
        </w:rPr>
        <w:t>artışın</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değil</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azalışın</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gözlemlenmesi</w:t>
      </w:r>
      <w:proofErr w:type="spellEnd"/>
      <w:r w:rsidRPr="001A1F42">
        <w:rPr>
          <w:rFonts w:asciiTheme="majorBidi" w:hAnsiTheme="majorBidi" w:cstheme="majorBidi"/>
        </w:rPr>
        <w:t xml:space="preserve">, 2018 yılında uygulamaya konulan YKS ile </w:t>
      </w:r>
      <w:proofErr w:type="spellStart"/>
      <w:r w:rsidRPr="001A1F42">
        <w:rPr>
          <w:rFonts w:asciiTheme="majorBidi" w:hAnsiTheme="majorBidi" w:cstheme="majorBidi"/>
        </w:rPr>
        <w:t>yerleşen</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öğrencilerin</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önceki</w:t>
      </w:r>
      <w:proofErr w:type="spellEnd"/>
      <w:r w:rsidRPr="001A1F42">
        <w:rPr>
          <w:rFonts w:asciiTheme="majorBidi" w:hAnsiTheme="majorBidi" w:cstheme="majorBidi"/>
        </w:rPr>
        <w:t xml:space="preserve"> yıla </w:t>
      </w:r>
      <w:proofErr w:type="spellStart"/>
      <w:r w:rsidRPr="001A1F42">
        <w:rPr>
          <w:rFonts w:asciiTheme="majorBidi" w:hAnsiTheme="majorBidi" w:cstheme="majorBidi"/>
        </w:rPr>
        <w:t>göre</w:t>
      </w:r>
      <w:proofErr w:type="spellEnd"/>
      <w:r w:rsidRPr="001A1F42">
        <w:rPr>
          <w:rFonts w:asciiTheme="majorBidi" w:hAnsiTheme="majorBidi" w:cstheme="majorBidi"/>
        </w:rPr>
        <w:t xml:space="preserve"> bulundukları programlardaki memnuniyet oranında bir </w:t>
      </w:r>
      <w:proofErr w:type="spellStart"/>
      <w:r w:rsidRPr="001A1F42">
        <w:rPr>
          <w:rFonts w:asciiTheme="majorBidi" w:hAnsiTheme="majorBidi" w:cstheme="majorBidi"/>
        </w:rPr>
        <w:t>iyileşme</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gerçekleştiğini</w:t>
      </w:r>
      <w:proofErr w:type="spellEnd"/>
      <w:r w:rsidRPr="001A1F42">
        <w:rPr>
          <w:rFonts w:asciiTheme="majorBidi" w:hAnsiTheme="majorBidi" w:cstheme="majorBidi"/>
        </w:rPr>
        <w:t xml:space="preserve"> ve bunun bu yıl da devam </w:t>
      </w:r>
      <w:proofErr w:type="spellStart"/>
      <w:r w:rsidRPr="001A1F42">
        <w:rPr>
          <w:rFonts w:asciiTheme="majorBidi" w:hAnsiTheme="majorBidi" w:cstheme="majorBidi"/>
        </w:rPr>
        <w:t>ettiğini</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göstermektedir</w:t>
      </w:r>
      <w:proofErr w:type="spellEnd"/>
      <w:r w:rsidRPr="001A1F42">
        <w:rPr>
          <w:rFonts w:asciiTheme="majorBidi" w:hAnsiTheme="majorBidi" w:cstheme="majorBidi"/>
        </w:rPr>
        <w:t xml:space="preserve">. Bu veriler </w:t>
      </w:r>
      <w:proofErr w:type="spellStart"/>
      <w:r w:rsidRPr="001A1F42">
        <w:rPr>
          <w:rFonts w:asciiTheme="majorBidi" w:hAnsiTheme="majorBidi" w:cstheme="majorBidi"/>
        </w:rPr>
        <w:t>önemlidir</w:t>
      </w:r>
      <w:proofErr w:type="spellEnd"/>
      <w:r w:rsidRPr="001A1F42">
        <w:rPr>
          <w:rFonts w:asciiTheme="majorBidi" w:hAnsiTheme="majorBidi" w:cstheme="majorBidi"/>
        </w:rPr>
        <w:t xml:space="preserve"> ve </w:t>
      </w:r>
      <w:r>
        <w:rPr>
          <w:rFonts w:asciiTheme="majorBidi" w:hAnsiTheme="majorBidi" w:cstheme="majorBidi"/>
        </w:rPr>
        <w:t>y</w:t>
      </w:r>
      <w:r w:rsidRPr="001A1F42">
        <w:rPr>
          <w:rFonts w:asciiTheme="majorBidi" w:hAnsiTheme="majorBidi" w:cstheme="majorBidi"/>
        </w:rPr>
        <w:t xml:space="preserve">eni </w:t>
      </w:r>
      <w:proofErr w:type="spellStart"/>
      <w:r w:rsidRPr="001A1F42">
        <w:rPr>
          <w:rFonts w:asciiTheme="majorBidi" w:hAnsiTheme="majorBidi" w:cstheme="majorBidi"/>
        </w:rPr>
        <w:t>YÖK’ün</w:t>
      </w:r>
      <w:proofErr w:type="spellEnd"/>
      <w:r w:rsidRPr="001A1F42">
        <w:rPr>
          <w:rFonts w:asciiTheme="majorBidi" w:hAnsiTheme="majorBidi" w:cstheme="majorBidi"/>
        </w:rPr>
        <w:t xml:space="preserve"> rasyonel kontenjan planlamasının </w:t>
      </w:r>
      <w:proofErr w:type="spellStart"/>
      <w:r w:rsidRPr="001A1F42">
        <w:rPr>
          <w:rFonts w:asciiTheme="majorBidi" w:hAnsiTheme="majorBidi" w:cstheme="majorBidi"/>
        </w:rPr>
        <w:t>başarısını</w:t>
      </w:r>
      <w:proofErr w:type="spellEnd"/>
      <w:r w:rsidRPr="001A1F42">
        <w:rPr>
          <w:rFonts w:asciiTheme="majorBidi" w:hAnsiTheme="majorBidi" w:cstheme="majorBidi"/>
        </w:rPr>
        <w:t xml:space="preserve"> </w:t>
      </w:r>
      <w:proofErr w:type="spellStart"/>
      <w:r w:rsidRPr="001A1F42">
        <w:rPr>
          <w:rFonts w:asciiTheme="majorBidi" w:hAnsiTheme="majorBidi" w:cstheme="majorBidi"/>
        </w:rPr>
        <w:t>göstermektedir</w:t>
      </w:r>
      <w:proofErr w:type="spellEnd"/>
      <w:r w:rsidRPr="001A1F42">
        <w:rPr>
          <w:rFonts w:asciiTheme="majorBidi" w:hAnsiTheme="majorBidi" w:cstheme="majorBidi"/>
        </w:rPr>
        <w:t>.</w:t>
      </w:r>
      <w:r w:rsidRPr="001A1F42">
        <w:rPr>
          <w:rFonts w:asciiTheme="majorBidi" w:hAnsiTheme="majorBidi" w:cstheme="majorBidi"/>
          <w:b/>
          <w:bCs/>
        </w:rPr>
        <w:t xml:space="preserve"> </w:t>
      </w:r>
    </w:p>
    <w:p w14:paraId="4925682C" w14:textId="77777777" w:rsidR="00D9330B" w:rsidRDefault="00D9330B" w:rsidP="00D9330B">
      <w:pPr>
        <w:pStyle w:val="GvdeMetni"/>
        <w:spacing w:before="72" w:line="360" w:lineRule="auto"/>
        <w:ind w:left="178" w:right="324" w:firstLine="542"/>
        <w:jc w:val="both"/>
      </w:pPr>
      <w:r>
        <w:t>Yeni YÖK’ün “yetki paylaşımı” politikası kapsamında yasal zemine kavuşan, üyeleri arasında kamu</w:t>
      </w:r>
      <w:r>
        <w:rPr>
          <w:spacing w:val="-13"/>
        </w:rPr>
        <w:t xml:space="preserve"> </w:t>
      </w:r>
      <w:r>
        <w:t>ve</w:t>
      </w:r>
      <w:r>
        <w:rPr>
          <w:spacing w:val="-15"/>
        </w:rPr>
        <w:t xml:space="preserve"> </w:t>
      </w:r>
      <w:r>
        <w:t>özel</w:t>
      </w:r>
      <w:r>
        <w:rPr>
          <w:spacing w:val="-14"/>
        </w:rPr>
        <w:t xml:space="preserve"> </w:t>
      </w:r>
      <w:r>
        <w:t xml:space="preserve">sektör temsilcilerinin de bulunduğu “Yükseköğretim Eğitim Programları Danışma </w:t>
      </w:r>
      <w:proofErr w:type="spellStart"/>
      <w:r>
        <w:t>Kurulu”nun</w:t>
      </w:r>
      <w:proofErr w:type="spellEnd"/>
      <w:r>
        <w:t xml:space="preserve"> ülkenin insan gücü ihtiyacına ilişkin yaptığı analizleri ve kontenjan planlamalarındaki görüşleri </w:t>
      </w:r>
      <w:proofErr w:type="spellStart"/>
      <w:r>
        <w:t>yanısıra</w:t>
      </w:r>
      <w:proofErr w:type="spellEnd"/>
      <w:r>
        <w:t xml:space="preserve"> yükseköğretim programlarındaki öğretim üyesi/elemanı sayıları ve doluluk oranları gibi parametrelerin, öğrencilerden gelen görüşlerin ve yükseköğretime geçiş dinamiklerinin de incelenmesi</w:t>
      </w:r>
      <w:r>
        <w:rPr>
          <w:spacing w:val="-11"/>
        </w:rPr>
        <w:t xml:space="preserve"> </w:t>
      </w:r>
      <w:r>
        <w:t>sonucunda</w:t>
      </w:r>
      <w:r>
        <w:rPr>
          <w:spacing w:val="-12"/>
        </w:rPr>
        <w:t xml:space="preserve"> </w:t>
      </w:r>
      <w:r w:rsidRPr="007D1CC3">
        <w:rPr>
          <w:b/>
          <w:bCs/>
        </w:rPr>
        <w:t>bu</w:t>
      </w:r>
      <w:r w:rsidRPr="007D1CC3">
        <w:rPr>
          <w:b/>
          <w:bCs/>
          <w:spacing w:val="-10"/>
        </w:rPr>
        <w:t xml:space="preserve"> </w:t>
      </w:r>
      <w:r w:rsidRPr="007D1CC3">
        <w:rPr>
          <w:b/>
          <w:bCs/>
        </w:rPr>
        <w:t>yıl</w:t>
      </w:r>
      <w:r w:rsidRPr="007D1CC3">
        <w:rPr>
          <w:b/>
          <w:bCs/>
          <w:spacing w:val="-11"/>
        </w:rPr>
        <w:t xml:space="preserve"> </w:t>
      </w:r>
      <w:r w:rsidRPr="007D1CC3">
        <w:rPr>
          <w:b/>
          <w:bCs/>
        </w:rPr>
        <w:t xml:space="preserve">yükseköğretim kurumlarına </w:t>
      </w:r>
      <w:r w:rsidRPr="000A5F90">
        <w:t>(okul birincisi kontenjanı dahil)</w:t>
      </w:r>
      <w:r w:rsidRPr="000A5F90">
        <w:rPr>
          <w:b/>
          <w:bCs/>
        </w:rPr>
        <w:t xml:space="preserve"> </w:t>
      </w:r>
      <w:r w:rsidRPr="007D1CC3">
        <w:rPr>
          <w:b/>
          <w:bCs/>
          <w:spacing w:val="-11"/>
        </w:rPr>
        <w:t>“</w:t>
      </w:r>
      <w:r w:rsidRPr="007D1CC3">
        <w:rPr>
          <w:b/>
          <w:bCs/>
        </w:rPr>
        <w:t>örgün</w:t>
      </w:r>
      <w:r w:rsidRPr="007D1CC3">
        <w:rPr>
          <w:b/>
          <w:bCs/>
          <w:spacing w:val="-11"/>
        </w:rPr>
        <w:t xml:space="preserve"> </w:t>
      </w:r>
      <w:r w:rsidRPr="007D1CC3">
        <w:rPr>
          <w:b/>
          <w:bCs/>
        </w:rPr>
        <w:t>öğretim</w:t>
      </w:r>
      <w:r w:rsidRPr="007D1CC3">
        <w:rPr>
          <w:b/>
          <w:bCs/>
          <w:spacing w:val="-12"/>
        </w:rPr>
        <w:t xml:space="preserve"> </w:t>
      </w:r>
      <w:r w:rsidRPr="007D1CC3">
        <w:rPr>
          <w:b/>
          <w:bCs/>
        </w:rPr>
        <w:t>programlarında 838.221 kontenjan” tahsis edilmiştir.</w:t>
      </w:r>
    </w:p>
    <w:p w14:paraId="3B1A486F" w14:textId="77777777" w:rsidR="00D9330B" w:rsidRPr="008D3E45" w:rsidRDefault="00D9330B" w:rsidP="00D9330B">
      <w:pPr>
        <w:pStyle w:val="GvdeMetni"/>
        <w:spacing w:before="72" w:line="360" w:lineRule="auto"/>
        <w:ind w:left="178" w:right="324"/>
        <w:jc w:val="both"/>
        <w:rPr>
          <w:sz w:val="10"/>
          <w:szCs w:val="10"/>
        </w:rPr>
      </w:pPr>
    </w:p>
    <w:p w14:paraId="7A59AC1A" w14:textId="77777777" w:rsidR="00D9330B" w:rsidRDefault="00D9330B" w:rsidP="00D9330B">
      <w:pPr>
        <w:pStyle w:val="GvdeMetni"/>
        <w:spacing w:line="360" w:lineRule="auto"/>
        <w:ind w:left="178" w:right="323" w:firstLine="707"/>
        <w:jc w:val="both"/>
      </w:pPr>
      <w:r>
        <w:t xml:space="preserve">2006 ile 2020 yılları kıyaslandığında yükseköğretime talep (başvuran sayısı) bağlamında 2020 yılı için artış </w:t>
      </w:r>
      <w:r w:rsidRPr="007B068C">
        <w:rPr>
          <w:b/>
        </w:rPr>
        <w:t>%45</w:t>
      </w:r>
      <w:r>
        <w:t xml:space="preserve">, arz (kontenjan sayısı) bağlamındaki artış </w:t>
      </w:r>
      <w:r w:rsidRPr="007B068C">
        <w:rPr>
          <w:b/>
        </w:rPr>
        <w:t>%108</w:t>
      </w:r>
      <w:r>
        <w:t xml:space="preserve"> olmuştur. Bu da gösteriyor ki, ülkemizde yükseköğretime erişim artık bir sorun olmaktan çıkmış, yükseköğretime erişim tatminkâr bir düzeye ulaşılmıştır. Ülkemizin 2023 hedefleri doğrultusunda ulaşılmak istenen insani, sosyal ve kültürel kalkınmışlık düzeyine erişmek ancak “nitelikli insan gücü ve nitelikli bilgi” ile mümkündür. Bu hedef istikametinde YÖK nitelikli ve kalite eksenli büyümeyi öncelikli kılmış ve kontenjan planlamalarında bu istikamette bir büyümeyi ilke edinmiştir.</w:t>
      </w:r>
    </w:p>
    <w:p w14:paraId="5D2C6338" w14:textId="77777777" w:rsidR="00D9330B" w:rsidRDefault="00D9330B" w:rsidP="00D9330B">
      <w:pPr>
        <w:pStyle w:val="GvdeMetni"/>
        <w:spacing w:before="1" w:line="360" w:lineRule="auto"/>
        <w:ind w:left="178" w:right="324" w:firstLine="707"/>
        <w:jc w:val="both"/>
      </w:pPr>
      <w:proofErr w:type="spellStart"/>
      <w:r w:rsidRPr="0092051A">
        <w:rPr>
          <w:b/>
          <w:bCs/>
        </w:rPr>
        <w:t>Önlisans</w:t>
      </w:r>
      <w:proofErr w:type="spellEnd"/>
      <w:r w:rsidRPr="0092051A">
        <w:rPr>
          <w:b/>
          <w:bCs/>
        </w:rPr>
        <w:t xml:space="preserve"> ve lisans programlarında toplam kontenjan, 2006 yılında 402.155 iken, 2017 yılında 910.671, 2018 yılında 839.490, 2019 yılında 824.694, 2020 yılında ise 838.221 olmuştur</w:t>
      </w:r>
      <w:r>
        <w:t>.</w:t>
      </w:r>
    </w:p>
    <w:p w14:paraId="0AE74C44" w14:textId="77777777" w:rsidR="00D9330B" w:rsidRPr="006041CE" w:rsidRDefault="00D9330B" w:rsidP="00D9330B">
      <w:pPr>
        <w:pStyle w:val="GvdeMetni"/>
        <w:spacing w:before="171" w:line="360" w:lineRule="auto"/>
        <w:ind w:left="178" w:right="323" w:firstLine="707"/>
        <w:jc w:val="both"/>
      </w:pPr>
      <w:r>
        <w:t>S</w:t>
      </w:r>
      <w:r w:rsidRPr="00A20FD4">
        <w:t>anayinin ihtiyaç duyduğu insan gücünün niteliğini ar</w:t>
      </w:r>
      <w:r>
        <w:t>ttırmak amacıyla</w:t>
      </w:r>
      <w:r w:rsidRPr="00A20FD4">
        <w:t xml:space="preserve"> MYO programları ile ilgili </w:t>
      </w:r>
      <w:r>
        <w:t xml:space="preserve">yapılan iyileştirmeler ve </w:t>
      </w:r>
      <w:r w:rsidRPr="00A20FD4">
        <w:t xml:space="preserve">rasyonel </w:t>
      </w:r>
      <w:r>
        <w:t>planlamalar sonucunda çok olumlu sonuçlar üretmiştir.</w:t>
      </w:r>
      <w:r w:rsidRPr="00A20FD4">
        <w:t xml:space="preserve"> Ayrıca Organize Sanayi Bölgelerinde açılan </w:t>
      </w:r>
      <w:proofErr w:type="spellStart"/>
      <w:r w:rsidRPr="00A20FD4">
        <w:t>MYO’lar</w:t>
      </w:r>
      <w:proofErr w:type="spellEnd"/>
      <w:r w:rsidRPr="00A20FD4">
        <w:t xml:space="preserve"> da bu çalışmalara ivme kazandırmıştır.</w:t>
      </w:r>
      <w:r>
        <w:t xml:space="preserve"> Öte yandan geleceğin meslekleri ile ilgili olarak İnsansız Hava Aracı ve Teknolojileri, Dijital Fabrika Teknolojileri, Engelliler için Destek Programı gibi yeni bazı </w:t>
      </w:r>
      <w:proofErr w:type="spellStart"/>
      <w:r>
        <w:t>önlisans</w:t>
      </w:r>
      <w:proofErr w:type="spellEnd"/>
      <w:r>
        <w:t xml:space="preserve"> programları da açılmış olup bu programlar bu yıl ilk kez öğrenci almaya başlayacaktır. </w:t>
      </w:r>
      <w:proofErr w:type="spellStart"/>
      <w:r>
        <w:rPr>
          <w:b/>
        </w:rPr>
        <w:t>MYO’lardaki</w:t>
      </w:r>
      <w:proofErr w:type="spellEnd"/>
      <w:r>
        <w:rPr>
          <w:b/>
        </w:rPr>
        <w:t xml:space="preserve"> doluluk oranlarında yaşanan artış bu sene de güçlü bir şekilde devam</w:t>
      </w:r>
      <w:r>
        <w:rPr>
          <w:b/>
          <w:spacing w:val="-2"/>
        </w:rPr>
        <w:t xml:space="preserve"> </w:t>
      </w:r>
      <w:r>
        <w:rPr>
          <w:b/>
        </w:rPr>
        <w:t xml:space="preserve">etmiş, geçen sene 33.066 olan boş kontenjan sayısı, bu sene de azalışını sürdürerek 30.387 olmuştur.  </w:t>
      </w:r>
      <w:r w:rsidRPr="005B39E7">
        <w:rPr>
          <w:bCs/>
        </w:rPr>
        <w:t>Bu sevindirici bir gelişmedir</w:t>
      </w:r>
      <w:r>
        <w:rPr>
          <w:b/>
        </w:rPr>
        <w:t xml:space="preserve">. </w:t>
      </w:r>
    </w:p>
    <w:p w14:paraId="666575E9" w14:textId="77777777" w:rsidR="00D9330B" w:rsidRDefault="00D9330B" w:rsidP="00D9330B">
      <w:pPr>
        <w:spacing w:before="174" w:line="360" w:lineRule="auto"/>
        <w:ind w:left="178" w:right="321" w:firstLine="707"/>
        <w:jc w:val="both"/>
        <w:rPr>
          <w:b/>
          <w:sz w:val="24"/>
        </w:rPr>
      </w:pPr>
      <w:proofErr w:type="spellStart"/>
      <w:r>
        <w:rPr>
          <w:sz w:val="24"/>
        </w:rPr>
        <w:lastRenderedPageBreak/>
        <w:t>Önlisans</w:t>
      </w:r>
      <w:proofErr w:type="spellEnd"/>
      <w:r>
        <w:rPr>
          <w:sz w:val="24"/>
        </w:rPr>
        <w:t xml:space="preserve"> programlarına 2019 yılında </w:t>
      </w:r>
      <w:r w:rsidRPr="00EE0D59">
        <w:rPr>
          <w:b/>
          <w:sz w:val="24"/>
        </w:rPr>
        <w:t>343.874</w:t>
      </w:r>
      <w:r>
        <w:rPr>
          <w:sz w:val="24"/>
        </w:rPr>
        <w:t xml:space="preserve"> aday yerleşmişken, bu yıl </w:t>
      </w:r>
      <w:proofErr w:type="spellStart"/>
      <w:r>
        <w:rPr>
          <w:sz w:val="24"/>
        </w:rPr>
        <w:t>önlisans</w:t>
      </w:r>
      <w:proofErr w:type="spellEnd"/>
      <w:r>
        <w:rPr>
          <w:sz w:val="24"/>
        </w:rPr>
        <w:t xml:space="preserve"> programlarına yerleşen aday sayısı </w:t>
      </w:r>
      <w:r w:rsidRPr="00EE0D59">
        <w:rPr>
          <w:b/>
          <w:sz w:val="24"/>
        </w:rPr>
        <w:t>349.785</w:t>
      </w:r>
      <w:r>
        <w:rPr>
          <w:sz w:val="24"/>
        </w:rPr>
        <w:t xml:space="preserve"> olarak gerçekleşmiştir. Lisans programları için de aynı olumlu tablo söz konusudur. 2019 yılında lisans programlarına yerleşen aday sayısı </w:t>
      </w:r>
      <w:r>
        <w:rPr>
          <w:b/>
          <w:sz w:val="24"/>
        </w:rPr>
        <w:t xml:space="preserve">409.587 </w:t>
      </w:r>
      <w:r>
        <w:rPr>
          <w:sz w:val="24"/>
        </w:rPr>
        <w:t xml:space="preserve">iken bu yıl yerleşen sayısı, </w:t>
      </w:r>
      <w:r w:rsidRPr="000B3D65">
        <w:rPr>
          <w:b/>
          <w:sz w:val="24"/>
        </w:rPr>
        <w:t>431.380</w:t>
      </w:r>
      <w:r>
        <w:rPr>
          <w:b/>
          <w:sz w:val="24"/>
        </w:rPr>
        <w:t xml:space="preserve"> </w:t>
      </w:r>
      <w:r w:rsidRPr="00EE0D59">
        <w:rPr>
          <w:sz w:val="24"/>
        </w:rPr>
        <w:t>olmuştur.</w:t>
      </w:r>
      <w:r>
        <w:rPr>
          <w:b/>
          <w:sz w:val="24"/>
        </w:rPr>
        <w:t xml:space="preserve"> </w:t>
      </w:r>
    </w:p>
    <w:p w14:paraId="5D696819" w14:textId="614A38CB" w:rsidR="00D9330B" w:rsidRDefault="00D9330B" w:rsidP="00D9330B">
      <w:pPr>
        <w:spacing w:before="174" w:line="360" w:lineRule="auto"/>
        <w:ind w:left="178" w:right="321" w:firstLine="707"/>
        <w:jc w:val="both"/>
        <w:rPr>
          <w:sz w:val="24"/>
        </w:rPr>
      </w:pPr>
      <w:r>
        <w:rPr>
          <w:b/>
          <w:sz w:val="24"/>
        </w:rPr>
        <w:t xml:space="preserve">2019 yılında örgün öğretim programlarına yerleşen toplam aday sayısı 753.461 iken bu yıl 781.165’e yükselmiştir. </w:t>
      </w:r>
      <w:r>
        <w:rPr>
          <w:sz w:val="24"/>
        </w:rPr>
        <w:t xml:space="preserve">2020 </w:t>
      </w:r>
      <w:r w:rsidR="005A51E0">
        <w:rPr>
          <w:sz w:val="24"/>
        </w:rPr>
        <w:t>YKS</w:t>
      </w:r>
      <w:r>
        <w:rPr>
          <w:sz w:val="24"/>
        </w:rPr>
        <w:t xml:space="preserve"> yerleşme sonuçlarında yerleşen aday sayılarında görülen artış, yapılan kontenjan planlamalarının doğruluğunu bir kez daha </w:t>
      </w:r>
      <w:proofErr w:type="spellStart"/>
      <w:r>
        <w:rPr>
          <w:sz w:val="24"/>
        </w:rPr>
        <w:t>teyid</w:t>
      </w:r>
      <w:proofErr w:type="spellEnd"/>
      <w:r>
        <w:rPr>
          <w:sz w:val="24"/>
        </w:rPr>
        <w:t xml:space="preserve"> etmektedir.</w:t>
      </w:r>
    </w:p>
    <w:p w14:paraId="2FCB7BF9" w14:textId="77777777" w:rsidR="00D9330B" w:rsidRPr="004C57A1" w:rsidRDefault="00D9330B" w:rsidP="00D9330B">
      <w:pPr>
        <w:spacing w:before="72" w:line="360" w:lineRule="auto"/>
        <w:ind w:left="178" w:right="326" w:firstLine="707"/>
        <w:jc w:val="both"/>
        <w:rPr>
          <w:sz w:val="24"/>
        </w:rPr>
      </w:pPr>
      <w:r>
        <w:rPr>
          <w:sz w:val="24"/>
        </w:rPr>
        <w:t xml:space="preserve">2018, 2019 ve 2020 yılları kıyaslandığında, </w:t>
      </w:r>
      <w:r>
        <w:rPr>
          <w:b/>
          <w:sz w:val="24"/>
        </w:rPr>
        <w:t xml:space="preserve">bu yıl hem lisans hem de </w:t>
      </w:r>
      <w:proofErr w:type="spellStart"/>
      <w:r>
        <w:rPr>
          <w:b/>
          <w:sz w:val="24"/>
        </w:rPr>
        <w:t>önlisans</w:t>
      </w:r>
      <w:proofErr w:type="spellEnd"/>
      <w:r>
        <w:rPr>
          <w:b/>
          <w:sz w:val="24"/>
        </w:rPr>
        <w:t xml:space="preserve"> programlarına yerleşen aday sayılarında çok açık bir artış gerçekleşmiştir. </w:t>
      </w:r>
      <w:r w:rsidRPr="004C57A1">
        <w:rPr>
          <w:sz w:val="24"/>
        </w:rPr>
        <w:t xml:space="preserve">Örgün programlarda </w:t>
      </w:r>
      <w:r w:rsidRPr="00722C98">
        <w:rPr>
          <w:b/>
          <w:bCs/>
          <w:sz w:val="24"/>
        </w:rPr>
        <w:t xml:space="preserve">2019 yılı boş kontenjanı </w:t>
      </w:r>
      <w:r w:rsidRPr="00722C98">
        <w:rPr>
          <w:b/>
          <w:bCs/>
          <w:color w:val="000000" w:themeColor="text1"/>
          <w:sz w:val="24"/>
          <w:szCs w:val="24"/>
        </w:rPr>
        <w:t xml:space="preserve">71.233 </w:t>
      </w:r>
      <w:r w:rsidRPr="00722C98">
        <w:rPr>
          <w:b/>
          <w:bCs/>
          <w:sz w:val="24"/>
          <w:szCs w:val="24"/>
        </w:rPr>
        <w:t>iken</w:t>
      </w:r>
      <w:r w:rsidRPr="00722C98">
        <w:rPr>
          <w:b/>
          <w:bCs/>
          <w:sz w:val="24"/>
        </w:rPr>
        <w:t xml:space="preserve"> 2020 yılı boş kontenjanı ise </w:t>
      </w:r>
      <w:r>
        <w:rPr>
          <w:b/>
          <w:bCs/>
          <w:sz w:val="24"/>
        </w:rPr>
        <w:t>büyük oranda düşerek 57.056 olmuştur</w:t>
      </w:r>
      <w:r w:rsidRPr="00722C98">
        <w:rPr>
          <w:b/>
          <w:bCs/>
          <w:sz w:val="24"/>
        </w:rPr>
        <w:t>.</w:t>
      </w:r>
      <w:r>
        <w:rPr>
          <w:b/>
          <w:sz w:val="24"/>
        </w:rPr>
        <w:t xml:space="preserve"> </w:t>
      </w:r>
      <w:r w:rsidRPr="004C57A1">
        <w:rPr>
          <w:sz w:val="24"/>
        </w:rPr>
        <w:t>2020</w:t>
      </w:r>
      <w:r>
        <w:rPr>
          <w:sz w:val="24"/>
        </w:rPr>
        <w:t xml:space="preserve"> yılı kontenjanında bir önceki yıla göre artış olmasına rağmen doluluk oranlarındaki artışın sürmesi, YÖK’ün kontenjan planlamasının artık istikrar kazanan olumlu bir zeminde olduğunu göstermekte ve rasyonel kontenjan planlamasının en önemli göstergesi olmaktadır. </w:t>
      </w:r>
    </w:p>
    <w:p w14:paraId="2C5FC0B9" w14:textId="77777777" w:rsidR="00D9330B" w:rsidRDefault="00D9330B" w:rsidP="00D9330B">
      <w:pPr>
        <w:pStyle w:val="GvdeMetni"/>
        <w:spacing w:before="5"/>
        <w:rPr>
          <w:sz w:val="21"/>
        </w:rPr>
      </w:pPr>
    </w:p>
    <w:p w14:paraId="707134B3" w14:textId="77777777" w:rsidR="00D9330B" w:rsidRDefault="00D9330B" w:rsidP="00D9330B">
      <w:pPr>
        <w:pStyle w:val="Balk1"/>
        <w:numPr>
          <w:ilvl w:val="0"/>
          <w:numId w:val="2"/>
        </w:numPr>
        <w:tabs>
          <w:tab w:val="left" w:pos="463"/>
        </w:tabs>
        <w:jc w:val="left"/>
      </w:pPr>
      <w:r>
        <w:t>Tercih Yapan Aday Sayıları</w:t>
      </w:r>
    </w:p>
    <w:p w14:paraId="41FF9969" w14:textId="77777777" w:rsidR="00D9330B" w:rsidRDefault="00D9330B" w:rsidP="00D9330B">
      <w:pPr>
        <w:pStyle w:val="GvdeMetni"/>
        <w:spacing w:before="8"/>
        <w:rPr>
          <w:b/>
          <w:sz w:val="25"/>
        </w:rPr>
      </w:pPr>
    </w:p>
    <w:tbl>
      <w:tblPr>
        <w:tblStyle w:val="TableNormal1"/>
        <w:tblW w:w="0" w:type="auto"/>
        <w:tblInd w:w="2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957"/>
        <w:gridCol w:w="2110"/>
        <w:gridCol w:w="2259"/>
      </w:tblGrid>
      <w:tr w:rsidR="00D9330B" w14:paraId="26EF1E36" w14:textId="77777777" w:rsidTr="00286018">
        <w:trPr>
          <w:trHeight w:val="538"/>
        </w:trPr>
        <w:tc>
          <w:tcPr>
            <w:tcW w:w="4957" w:type="dxa"/>
            <w:shd w:val="clear" w:color="auto" w:fill="E7E6E6"/>
          </w:tcPr>
          <w:p w14:paraId="05AD17A8" w14:textId="77777777" w:rsidR="00D9330B" w:rsidRDefault="00D9330B" w:rsidP="00286018">
            <w:pPr>
              <w:pStyle w:val="TableParagraph"/>
              <w:jc w:val="left"/>
            </w:pPr>
          </w:p>
        </w:tc>
        <w:tc>
          <w:tcPr>
            <w:tcW w:w="2110" w:type="dxa"/>
            <w:shd w:val="clear" w:color="auto" w:fill="E7E6E6"/>
          </w:tcPr>
          <w:p w14:paraId="5C713895" w14:textId="77777777" w:rsidR="00D9330B" w:rsidRDefault="00D9330B" w:rsidP="00286018">
            <w:pPr>
              <w:pStyle w:val="TableParagraph"/>
              <w:spacing w:before="125"/>
              <w:ind w:left="543" w:right="537"/>
              <w:rPr>
                <w:b/>
                <w:sz w:val="24"/>
              </w:rPr>
            </w:pPr>
            <w:r>
              <w:rPr>
                <w:b/>
                <w:sz w:val="24"/>
              </w:rPr>
              <w:t>2019</w:t>
            </w:r>
          </w:p>
        </w:tc>
        <w:tc>
          <w:tcPr>
            <w:tcW w:w="2259" w:type="dxa"/>
            <w:shd w:val="clear" w:color="auto" w:fill="E7E6E6"/>
          </w:tcPr>
          <w:p w14:paraId="7E94A0F0" w14:textId="77777777" w:rsidR="00D9330B" w:rsidRDefault="00D9330B" w:rsidP="00286018">
            <w:pPr>
              <w:pStyle w:val="TableParagraph"/>
              <w:spacing w:before="125"/>
              <w:ind w:left="615" w:right="613"/>
              <w:rPr>
                <w:b/>
                <w:sz w:val="24"/>
              </w:rPr>
            </w:pPr>
            <w:r>
              <w:rPr>
                <w:b/>
                <w:sz w:val="24"/>
              </w:rPr>
              <w:t>2020</w:t>
            </w:r>
          </w:p>
        </w:tc>
      </w:tr>
      <w:tr w:rsidR="00D9330B" w14:paraId="7C34D252" w14:textId="77777777" w:rsidTr="00286018">
        <w:trPr>
          <w:trHeight w:val="536"/>
        </w:trPr>
        <w:tc>
          <w:tcPr>
            <w:tcW w:w="4957" w:type="dxa"/>
            <w:shd w:val="clear" w:color="auto" w:fill="DEEAF6"/>
          </w:tcPr>
          <w:p w14:paraId="3E66BD62" w14:textId="77777777" w:rsidR="00D9330B" w:rsidRDefault="00D9330B" w:rsidP="00286018">
            <w:pPr>
              <w:pStyle w:val="TableParagraph"/>
              <w:spacing w:before="123"/>
              <w:ind w:left="97"/>
              <w:jc w:val="left"/>
              <w:rPr>
                <w:b/>
                <w:sz w:val="24"/>
              </w:rPr>
            </w:pPr>
            <w:r>
              <w:rPr>
                <w:b/>
                <w:sz w:val="24"/>
              </w:rPr>
              <w:t>Tercih Yapma Hakkı Bulunan Aday Sayısı</w:t>
            </w:r>
          </w:p>
        </w:tc>
        <w:tc>
          <w:tcPr>
            <w:tcW w:w="2110" w:type="dxa"/>
            <w:vAlign w:val="center"/>
          </w:tcPr>
          <w:p w14:paraId="067C222F" w14:textId="77777777" w:rsidR="00D9330B" w:rsidRPr="00705DB9" w:rsidRDefault="00D9330B" w:rsidP="00286018">
            <w:pPr>
              <w:jc w:val="center"/>
              <w:rPr>
                <w:b/>
                <w:color w:val="000000" w:themeColor="text1"/>
                <w:sz w:val="24"/>
                <w:szCs w:val="24"/>
              </w:rPr>
            </w:pPr>
            <w:r w:rsidRPr="00705DB9">
              <w:rPr>
                <w:b/>
                <w:color w:val="000000" w:themeColor="text1"/>
                <w:sz w:val="24"/>
                <w:szCs w:val="24"/>
              </w:rPr>
              <w:t>1.761.394</w:t>
            </w:r>
          </w:p>
        </w:tc>
        <w:tc>
          <w:tcPr>
            <w:tcW w:w="2259" w:type="dxa"/>
            <w:vAlign w:val="center"/>
          </w:tcPr>
          <w:p w14:paraId="633826C9" w14:textId="77777777" w:rsidR="00D9330B" w:rsidRPr="00705DB9" w:rsidRDefault="00D9330B" w:rsidP="00286018">
            <w:pPr>
              <w:jc w:val="center"/>
              <w:rPr>
                <w:b/>
                <w:color w:val="000000" w:themeColor="text1"/>
                <w:sz w:val="24"/>
                <w:szCs w:val="24"/>
              </w:rPr>
            </w:pPr>
            <w:r w:rsidRPr="00705DB9">
              <w:rPr>
                <w:b/>
                <w:color w:val="000000" w:themeColor="text1"/>
                <w:sz w:val="24"/>
                <w:szCs w:val="24"/>
              </w:rPr>
              <w:t>1.745.642</w:t>
            </w:r>
          </w:p>
        </w:tc>
      </w:tr>
      <w:tr w:rsidR="00D9330B" w14:paraId="11544DA8" w14:textId="77777777" w:rsidTr="00286018">
        <w:trPr>
          <w:trHeight w:val="526"/>
        </w:trPr>
        <w:tc>
          <w:tcPr>
            <w:tcW w:w="4957" w:type="dxa"/>
          </w:tcPr>
          <w:p w14:paraId="117583CF" w14:textId="77777777" w:rsidR="00D9330B" w:rsidRDefault="00D9330B" w:rsidP="00286018">
            <w:pPr>
              <w:pStyle w:val="TableParagraph"/>
              <w:spacing w:before="116"/>
              <w:ind w:left="97"/>
              <w:jc w:val="left"/>
              <w:rPr>
                <w:b/>
                <w:sz w:val="24"/>
              </w:rPr>
            </w:pPr>
            <w:r>
              <w:rPr>
                <w:b/>
                <w:sz w:val="24"/>
              </w:rPr>
              <w:t>Tercih Yapan Aday Sayısı</w:t>
            </w:r>
          </w:p>
        </w:tc>
        <w:tc>
          <w:tcPr>
            <w:tcW w:w="2110" w:type="dxa"/>
            <w:vAlign w:val="center"/>
          </w:tcPr>
          <w:p w14:paraId="644E64F4" w14:textId="77777777" w:rsidR="00D9330B" w:rsidRPr="00705DB9" w:rsidRDefault="00D9330B" w:rsidP="00286018">
            <w:pPr>
              <w:jc w:val="center"/>
              <w:rPr>
                <w:b/>
                <w:color w:val="000000" w:themeColor="text1"/>
                <w:sz w:val="24"/>
                <w:szCs w:val="24"/>
              </w:rPr>
            </w:pPr>
            <w:r w:rsidRPr="00705DB9">
              <w:rPr>
                <w:b/>
                <w:color w:val="000000" w:themeColor="text1"/>
                <w:sz w:val="24"/>
                <w:szCs w:val="24"/>
              </w:rPr>
              <w:t>1.113.640</w:t>
            </w:r>
          </w:p>
        </w:tc>
        <w:tc>
          <w:tcPr>
            <w:tcW w:w="2259" w:type="dxa"/>
            <w:vAlign w:val="center"/>
          </w:tcPr>
          <w:p w14:paraId="2E83CCCB" w14:textId="77777777" w:rsidR="00D9330B" w:rsidRPr="00705DB9" w:rsidRDefault="00D9330B" w:rsidP="00286018">
            <w:pPr>
              <w:jc w:val="center"/>
              <w:rPr>
                <w:b/>
                <w:color w:val="000000" w:themeColor="text1"/>
                <w:sz w:val="24"/>
                <w:szCs w:val="24"/>
              </w:rPr>
            </w:pPr>
            <w:r w:rsidRPr="00705DB9">
              <w:rPr>
                <w:b/>
                <w:color w:val="000000" w:themeColor="text1"/>
                <w:sz w:val="24"/>
                <w:szCs w:val="24"/>
              </w:rPr>
              <w:t>1.151.632</w:t>
            </w:r>
          </w:p>
        </w:tc>
      </w:tr>
    </w:tbl>
    <w:p w14:paraId="6A33EB90" w14:textId="77777777" w:rsidR="00D9330B" w:rsidRPr="00A17F15" w:rsidRDefault="00D9330B" w:rsidP="00D9330B">
      <w:pPr>
        <w:pStyle w:val="GvdeMetni"/>
        <w:rPr>
          <w:b/>
          <w:color w:val="C00000"/>
          <w:sz w:val="26"/>
        </w:rPr>
      </w:pPr>
    </w:p>
    <w:p w14:paraId="64E0E2BB" w14:textId="77777777" w:rsidR="00D9330B" w:rsidRPr="001D3D51" w:rsidRDefault="00D9330B" w:rsidP="00D9330B">
      <w:pPr>
        <w:pStyle w:val="GvdeMetni"/>
        <w:spacing w:before="156" w:line="360" w:lineRule="auto"/>
        <w:ind w:left="178" w:right="326" w:firstLine="720"/>
        <w:jc w:val="both"/>
      </w:pPr>
      <w:r>
        <w:t>2019</w:t>
      </w:r>
      <w:r>
        <w:rPr>
          <w:spacing w:val="-9"/>
        </w:rPr>
        <w:t xml:space="preserve"> </w:t>
      </w:r>
      <w:r>
        <w:t>yılında</w:t>
      </w:r>
      <w:r>
        <w:rPr>
          <w:spacing w:val="-11"/>
        </w:rPr>
        <w:t xml:space="preserve"> </w:t>
      </w:r>
      <w:r>
        <w:t>tercih</w:t>
      </w:r>
      <w:r>
        <w:rPr>
          <w:spacing w:val="-4"/>
        </w:rPr>
        <w:t xml:space="preserve"> </w:t>
      </w:r>
      <w:r>
        <w:t>yapma</w:t>
      </w:r>
      <w:r>
        <w:rPr>
          <w:spacing w:val="-12"/>
        </w:rPr>
        <w:t xml:space="preserve"> </w:t>
      </w:r>
      <w:r>
        <w:t>hakkı</w:t>
      </w:r>
      <w:r>
        <w:rPr>
          <w:spacing w:val="-11"/>
        </w:rPr>
        <w:t xml:space="preserve"> </w:t>
      </w:r>
      <w:r>
        <w:t>bulunan</w:t>
      </w:r>
      <w:r>
        <w:rPr>
          <w:spacing w:val="-9"/>
        </w:rPr>
        <w:t xml:space="preserve"> </w:t>
      </w:r>
      <w:r>
        <w:t>aday</w:t>
      </w:r>
      <w:r>
        <w:rPr>
          <w:spacing w:val="-16"/>
        </w:rPr>
        <w:t xml:space="preserve"> </w:t>
      </w:r>
      <w:r>
        <w:t>sayısı</w:t>
      </w:r>
      <w:r>
        <w:rPr>
          <w:spacing w:val="-9"/>
        </w:rPr>
        <w:t xml:space="preserve"> </w:t>
      </w:r>
      <w:r>
        <w:t>1.761.394,</w:t>
      </w:r>
      <w:r>
        <w:rPr>
          <w:spacing w:val="-11"/>
        </w:rPr>
        <w:t xml:space="preserve"> </w:t>
      </w:r>
      <w:r>
        <w:t>2020</w:t>
      </w:r>
      <w:r>
        <w:rPr>
          <w:spacing w:val="-6"/>
        </w:rPr>
        <w:t xml:space="preserve"> </w:t>
      </w:r>
      <w:r>
        <w:t>yılında</w:t>
      </w:r>
      <w:r>
        <w:rPr>
          <w:spacing w:val="-12"/>
        </w:rPr>
        <w:t xml:space="preserve"> </w:t>
      </w:r>
      <w:r>
        <w:t>ise</w:t>
      </w:r>
      <w:r>
        <w:rPr>
          <w:spacing w:val="-10"/>
        </w:rPr>
        <w:t xml:space="preserve"> </w:t>
      </w:r>
      <w:r>
        <w:t xml:space="preserve">1.745.642 olmuştur. Tercih yapan aday sayısı geçen sene </w:t>
      </w:r>
      <w:r>
        <w:rPr>
          <w:b/>
        </w:rPr>
        <w:t>1.113.640</w:t>
      </w:r>
      <w:r w:rsidRPr="00705DB9">
        <w:rPr>
          <w:b/>
          <w:color w:val="000000" w:themeColor="text1"/>
        </w:rPr>
        <w:t xml:space="preserve"> </w:t>
      </w:r>
      <w:r>
        <w:t xml:space="preserve">iken bu sene </w:t>
      </w:r>
      <w:r w:rsidRPr="00705DB9">
        <w:rPr>
          <w:b/>
          <w:color w:val="000000" w:themeColor="text1"/>
        </w:rPr>
        <w:t>1.151.632</w:t>
      </w:r>
      <w:r>
        <w:rPr>
          <w:b/>
          <w:color w:val="000000" w:themeColor="text1"/>
        </w:rPr>
        <w:t xml:space="preserve">’dir. </w:t>
      </w:r>
      <w:r>
        <w:t>B</w:t>
      </w:r>
      <w:r w:rsidRPr="00A17F15">
        <w:t xml:space="preserve">u yıl </w:t>
      </w:r>
      <w:r w:rsidRPr="00DB2D3A">
        <w:t xml:space="preserve">tercih yapan </w:t>
      </w:r>
      <w:r w:rsidRPr="007B068C">
        <w:rPr>
          <w:b/>
        </w:rPr>
        <w:t>her 100 adayın 80’i üniversiteli</w:t>
      </w:r>
      <w:r>
        <w:t xml:space="preserve"> olmuştur.</w:t>
      </w:r>
      <w:r w:rsidRPr="00A17F15">
        <w:t xml:space="preserve"> </w:t>
      </w:r>
      <w:r>
        <w:t xml:space="preserve">Gerek bu </w:t>
      </w:r>
      <w:proofErr w:type="gramStart"/>
      <w:r>
        <w:t>sonuç,</w:t>
      </w:r>
      <w:proofErr w:type="gramEnd"/>
      <w:r>
        <w:t xml:space="preserve"> gerekse tercih yapan aday sayısının geçen seneye göre yüksek olması </w:t>
      </w:r>
      <w:r w:rsidRPr="001D3D51">
        <w:rPr>
          <w:bCs/>
        </w:rPr>
        <w:t>olumlu bir gelişmedir.</w:t>
      </w:r>
      <w:r>
        <w:rPr>
          <w:b/>
        </w:rPr>
        <w:t xml:space="preserve"> </w:t>
      </w:r>
    </w:p>
    <w:p w14:paraId="2266FD99" w14:textId="77777777" w:rsidR="00D9330B" w:rsidRPr="002613C2" w:rsidRDefault="00D9330B" w:rsidP="00D9330B">
      <w:pPr>
        <w:pStyle w:val="Balk1"/>
        <w:spacing w:before="5" w:line="360" w:lineRule="auto"/>
        <w:ind w:left="142" w:right="322" w:firstLine="709"/>
        <w:jc w:val="both"/>
        <w:rPr>
          <w:b w:val="0"/>
        </w:rPr>
      </w:pPr>
    </w:p>
    <w:p w14:paraId="641B8C01" w14:textId="77777777" w:rsidR="00D9330B" w:rsidRDefault="00D9330B" w:rsidP="00D9330B">
      <w:pPr>
        <w:pStyle w:val="Balk1"/>
        <w:numPr>
          <w:ilvl w:val="0"/>
          <w:numId w:val="2"/>
        </w:numPr>
        <w:tabs>
          <w:tab w:val="left" w:pos="463"/>
        </w:tabs>
        <w:spacing w:before="1"/>
        <w:jc w:val="left"/>
      </w:pPr>
      <w:r>
        <w:t>Yükseköğretim Programlarına Yerleşme Sayıları ve</w:t>
      </w:r>
      <w:r>
        <w:rPr>
          <w:spacing w:val="-2"/>
        </w:rPr>
        <w:t xml:space="preserve"> </w:t>
      </w:r>
      <w:r>
        <w:t>Kontenjanlar</w:t>
      </w:r>
    </w:p>
    <w:p w14:paraId="0FD6EFC3" w14:textId="77777777" w:rsidR="00D9330B" w:rsidRDefault="00D9330B" w:rsidP="00D9330B">
      <w:pPr>
        <w:pStyle w:val="GvdeMetni"/>
        <w:spacing w:before="6"/>
        <w:rPr>
          <w:b/>
          <w:sz w:val="23"/>
        </w:rPr>
      </w:pPr>
    </w:p>
    <w:p w14:paraId="43B8C6CF" w14:textId="77777777" w:rsidR="00D9330B" w:rsidRPr="00B1570F" w:rsidRDefault="00D9330B" w:rsidP="00D9330B">
      <w:pPr>
        <w:spacing w:line="360" w:lineRule="auto"/>
        <w:ind w:firstLine="886"/>
        <w:jc w:val="both"/>
        <w:rPr>
          <w:sz w:val="24"/>
        </w:rPr>
      </w:pPr>
      <w:r>
        <w:rPr>
          <w:b/>
          <w:sz w:val="24"/>
        </w:rPr>
        <w:t xml:space="preserve">2017 </w:t>
      </w:r>
      <w:r>
        <w:rPr>
          <w:sz w:val="24"/>
        </w:rPr>
        <w:t xml:space="preserve">yılında toplam yerleşen sayısı </w:t>
      </w:r>
      <w:r>
        <w:rPr>
          <w:b/>
          <w:sz w:val="24"/>
        </w:rPr>
        <w:t xml:space="preserve">696.288 </w:t>
      </w:r>
      <w:r>
        <w:rPr>
          <w:sz w:val="24"/>
        </w:rPr>
        <w:t xml:space="preserve">iken, yerleşen sayısı </w:t>
      </w:r>
      <w:proofErr w:type="spellStart"/>
      <w:r>
        <w:rPr>
          <w:sz w:val="24"/>
        </w:rPr>
        <w:t>YKS’nin</w:t>
      </w:r>
      <w:proofErr w:type="spellEnd"/>
      <w:r>
        <w:rPr>
          <w:sz w:val="24"/>
        </w:rPr>
        <w:t xml:space="preserve"> </w:t>
      </w:r>
      <w:r>
        <w:rPr>
          <w:b/>
          <w:sz w:val="24"/>
        </w:rPr>
        <w:t xml:space="preserve">ilk senesi olan </w:t>
      </w:r>
      <w:r>
        <w:rPr>
          <w:sz w:val="24"/>
        </w:rPr>
        <w:t xml:space="preserve">2018 yılında </w:t>
      </w:r>
      <w:r>
        <w:rPr>
          <w:b/>
          <w:sz w:val="24"/>
        </w:rPr>
        <w:t>710.982’ye</w:t>
      </w:r>
      <w:r>
        <w:rPr>
          <w:sz w:val="24"/>
        </w:rPr>
        <w:t xml:space="preserve">, </w:t>
      </w:r>
      <w:r>
        <w:rPr>
          <w:b/>
          <w:sz w:val="24"/>
        </w:rPr>
        <w:t xml:space="preserve">ikinci senesi </w:t>
      </w:r>
      <w:r>
        <w:rPr>
          <w:sz w:val="24"/>
        </w:rPr>
        <w:t xml:space="preserve">olan 2019 yılında </w:t>
      </w:r>
      <w:r>
        <w:rPr>
          <w:b/>
          <w:sz w:val="24"/>
        </w:rPr>
        <w:t xml:space="preserve">753.461’e, üçüncü senesi olan </w:t>
      </w:r>
      <w:r w:rsidRPr="003A67CD">
        <w:rPr>
          <w:sz w:val="24"/>
        </w:rPr>
        <w:t xml:space="preserve">2020 yılında ise </w:t>
      </w:r>
      <w:r w:rsidRPr="007176E9">
        <w:rPr>
          <w:b/>
          <w:sz w:val="24"/>
        </w:rPr>
        <w:t>781.165’e</w:t>
      </w:r>
      <w:r>
        <w:rPr>
          <w:b/>
          <w:sz w:val="24"/>
        </w:rPr>
        <w:t xml:space="preserve"> </w:t>
      </w:r>
      <w:r>
        <w:rPr>
          <w:sz w:val="24"/>
        </w:rPr>
        <w:t xml:space="preserve">yükselmiştir. </w:t>
      </w:r>
    </w:p>
    <w:p w14:paraId="22AFCB2B" w14:textId="77777777" w:rsidR="00D9330B" w:rsidRDefault="00D9330B" w:rsidP="00D9330B">
      <w:pPr>
        <w:pStyle w:val="GvdeMetni"/>
        <w:spacing w:before="2"/>
        <w:rPr>
          <w:sz w:val="27"/>
        </w:rPr>
      </w:pPr>
    </w:p>
    <w:p w14:paraId="4D11ED8A" w14:textId="77777777" w:rsidR="00D9330B" w:rsidRDefault="00D9330B" w:rsidP="00D9330B">
      <w:pPr>
        <w:jc w:val="center"/>
        <w:rPr>
          <w:sz w:val="27"/>
        </w:rPr>
      </w:pPr>
      <w:r>
        <w:rPr>
          <w:noProof/>
          <w:lang w:bidi="ar-SA"/>
        </w:rPr>
        <w:lastRenderedPageBreak/>
        <w:drawing>
          <wp:inline distT="0" distB="0" distL="0" distR="0" wp14:anchorId="5EABA029" wp14:editId="792C3B6E">
            <wp:extent cx="5308600" cy="2807448"/>
            <wp:effectExtent l="0" t="0" r="0" b="1206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D29475" w14:textId="77777777" w:rsidR="00D9330B" w:rsidRDefault="00D9330B" w:rsidP="00D9330B">
      <w:pPr>
        <w:rPr>
          <w:sz w:val="27"/>
        </w:rPr>
      </w:pPr>
    </w:p>
    <w:p w14:paraId="009637BB" w14:textId="77777777" w:rsidR="00D9330B" w:rsidRDefault="00D9330B" w:rsidP="00D9330B">
      <w:pPr>
        <w:widowControl/>
        <w:autoSpaceDE/>
        <w:autoSpaceDN/>
        <w:spacing w:line="360" w:lineRule="auto"/>
        <w:ind w:firstLine="720"/>
        <w:jc w:val="both"/>
        <w:rPr>
          <w:sz w:val="24"/>
          <w:szCs w:val="24"/>
        </w:rPr>
      </w:pPr>
      <w:r>
        <w:rPr>
          <w:color w:val="000000"/>
          <w:sz w:val="24"/>
          <w:szCs w:val="24"/>
          <w:lang w:bidi="ar-SA"/>
        </w:rPr>
        <w:t>“</w:t>
      </w:r>
      <w:r w:rsidRPr="007D3762">
        <w:rPr>
          <w:color w:val="000000"/>
          <w:sz w:val="24"/>
          <w:szCs w:val="24"/>
          <w:lang w:bidi="ar-SA"/>
        </w:rPr>
        <w:t>Muhakeme ve analiz kabiliyetini</w:t>
      </w:r>
      <w:r>
        <w:rPr>
          <w:color w:val="000000"/>
          <w:sz w:val="24"/>
          <w:szCs w:val="24"/>
          <w:lang w:bidi="ar-SA"/>
        </w:rPr>
        <w:t>”</w:t>
      </w:r>
      <w:r w:rsidRPr="007D3762">
        <w:rPr>
          <w:color w:val="000000"/>
          <w:sz w:val="24"/>
          <w:szCs w:val="24"/>
          <w:lang w:bidi="ar-SA"/>
        </w:rPr>
        <w:t xml:space="preserve"> öne çıkaran </w:t>
      </w:r>
      <w:r w:rsidRPr="007D3762">
        <w:rPr>
          <w:sz w:val="24"/>
          <w:szCs w:val="24"/>
        </w:rPr>
        <w:t xml:space="preserve">yeni sistemle birlikte </w:t>
      </w:r>
      <w:r>
        <w:rPr>
          <w:sz w:val="24"/>
          <w:szCs w:val="24"/>
        </w:rPr>
        <w:t xml:space="preserve">kontenjanlardaki artışın yanında doluluk oranlarında da gerçekleşen bu </w:t>
      </w:r>
      <w:r w:rsidRPr="007D3762">
        <w:rPr>
          <w:sz w:val="24"/>
          <w:szCs w:val="24"/>
        </w:rPr>
        <w:t>artış</w:t>
      </w:r>
      <w:r>
        <w:rPr>
          <w:sz w:val="24"/>
          <w:szCs w:val="24"/>
        </w:rPr>
        <w:t>,</w:t>
      </w:r>
      <w:r w:rsidRPr="007D3762">
        <w:rPr>
          <w:sz w:val="24"/>
          <w:szCs w:val="24"/>
        </w:rPr>
        <w:t xml:space="preserve"> rasyonel bir </w:t>
      </w:r>
      <w:r>
        <w:rPr>
          <w:sz w:val="24"/>
          <w:szCs w:val="24"/>
        </w:rPr>
        <w:t>planlama</w:t>
      </w:r>
      <w:r w:rsidRPr="007D3762">
        <w:rPr>
          <w:sz w:val="24"/>
          <w:szCs w:val="24"/>
        </w:rPr>
        <w:t xml:space="preserve"> ile birleştiğinde daha da anlam kazanmaktadır. Bu </w:t>
      </w:r>
      <w:r>
        <w:rPr>
          <w:sz w:val="24"/>
          <w:szCs w:val="24"/>
        </w:rPr>
        <w:t xml:space="preserve">olumlu </w:t>
      </w:r>
      <w:r w:rsidRPr="007D3762">
        <w:rPr>
          <w:sz w:val="24"/>
          <w:szCs w:val="24"/>
        </w:rPr>
        <w:t>sonuç</w:t>
      </w:r>
      <w:r>
        <w:rPr>
          <w:sz w:val="24"/>
          <w:szCs w:val="24"/>
        </w:rPr>
        <w:t>,</w:t>
      </w:r>
      <w:r w:rsidRPr="007D3762">
        <w:rPr>
          <w:sz w:val="24"/>
          <w:szCs w:val="24"/>
        </w:rPr>
        <w:t xml:space="preserve"> ülken</w:t>
      </w:r>
      <w:r>
        <w:rPr>
          <w:sz w:val="24"/>
          <w:szCs w:val="24"/>
        </w:rPr>
        <w:t>in ihtiyaçları, istihdam imkanları, öğrenci temayülleri, yükseköğretimde niteliğin arttırılması gibi çok sayıda parametre göz önünde bulundurularak yapılmış gerçekçi bir planlamanın sonucudur.</w:t>
      </w:r>
    </w:p>
    <w:p w14:paraId="1DE4B1A4" w14:textId="77777777" w:rsidR="00D9330B" w:rsidRDefault="00D9330B" w:rsidP="00D9330B">
      <w:pPr>
        <w:widowControl/>
        <w:autoSpaceDE/>
        <w:autoSpaceDN/>
        <w:spacing w:line="360" w:lineRule="auto"/>
        <w:ind w:firstLine="720"/>
        <w:jc w:val="both"/>
        <w:rPr>
          <w:sz w:val="24"/>
          <w:szCs w:val="24"/>
        </w:rPr>
      </w:pPr>
    </w:p>
    <w:p w14:paraId="697F969A" w14:textId="77777777" w:rsidR="00D9330B" w:rsidRDefault="00D9330B" w:rsidP="00D9330B">
      <w:pPr>
        <w:widowControl/>
        <w:autoSpaceDE/>
        <w:autoSpaceDN/>
        <w:spacing w:line="360" w:lineRule="auto"/>
        <w:ind w:firstLine="720"/>
        <w:jc w:val="both"/>
        <w:rPr>
          <w:sz w:val="24"/>
          <w:szCs w:val="24"/>
        </w:rPr>
      </w:pPr>
      <w:r>
        <w:rPr>
          <w:noProof/>
          <w:lang w:bidi="ar-SA"/>
        </w:rPr>
        <w:drawing>
          <wp:inline distT="0" distB="0" distL="0" distR="0" wp14:anchorId="30F0D270" wp14:editId="21C5E6AF">
            <wp:extent cx="5045710" cy="3013609"/>
            <wp:effectExtent l="0" t="0" r="8890"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C175DC" w14:textId="77777777" w:rsidR="00D9330B" w:rsidRDefault="00D9330B" w:rsidP="00D9330B">
      <w:pPr>
        <w:pStyle w:val="GvdeMetni"/>
        <w:rPr>
          <w:sz w:val="26"/>
        </w:rPr>
      </w:pPr>
    </w:p>
    <w:p w14:paraId="3ED36E43" w14:textId="77777777" w:rsidR="00D9330B" w:rsidRDefault="00D9330B" w:rsidP="00D9330B">
      <w:pPr>
        <w:pStyle w:val="GvdeMetni"/>
        <w:rPr>
          <w:sz w:val="26"/>
        </w:rPr>
      </w:pPr>
    </w:p>
    <w:p w14:paraId="5039C50C" w14:textId="77777777" w:rsidR="00D9330B" w:rsidRDefault="00D9330B" w:rsidP="00D9330B">
      <w:pPr>
        <w:pStyle w:val="GvdeMetni"/>
        <w:rPr>
          <w:sz w:val="26"/>
        </w:rPr>
      </w:pPr>
    </w:p>
    <w:p w14:paraId="53494CDA" w14:textId="77777777" w:rsidR="00D9330B" w:rsidRDefault="00D9330B" w:rsidP="00D9330B">
      <w:pPr>
        <w:pStyle w:val="GvdeMetni"/>
        <w:rPr>
          <w:sz w:val="26"/>
        </w:rPr>
      </w:pPr>
    </w:p>
    <w:p w14:paraId="3E162BD3" w14:textId="77777777" w:rsidR="00D9330B" w:rsidRDefault="00D9330B" w:rsidP="00D9330B">
      <w:pPr>
        <w:pStyle w:val="GvdeMetni"/>
        <w:rPr>
          <w:sz w:val="26"/>
        </w:rPr>
      </w:pPr>
    </w:p>
    <w:p w14:paraId="739C1551" w14:textId="77777777" w:rsidR="00D9330B" w:rsidRDefault="00D9330B" w:rsidP="00D9330B">
      <w:pPr>
        <w:pStyle w:val="GvdeMetni"/>
        <w:rPr>
          <w:sz w:val="26"/>
        </w:rPr>
      </w:pPr>
    </w:p>
    <w:p w14:paraId="45EAB232" w14:textId="77777777" w:rsidR="00D9330B" w:rsidRDefault="00D9330B" w:rsidP="00D9330B">
      <w:pPr>
        <w:pStyle w:val="GvdeMetni"/>
        <w:rPr>
          <w:sz w:val="26"/>
        </w:rPr>
      </w:pPr>
    </w:p>
    <w:p w14:paraId="57C3060C" w14:textId="77777777" w:rsidR="00D9330B" w:rsidRDefault="00D9330B" w:rsidP="00D9330B">
      <w:pPr>
        <w:pStyle w:val="Balk1"/>
        <w:numPr>
          <w:ilvl w:val="0"/>
          <w:numId w:val="2"/>
        </w:numPr>
        <w:tabs>
          <w:tab w:val="left" w:pos="463"/>
        </w:tabs>
        <w:spacing w:before="231"/>
        <w:jc w:val="left"/>
      </w:pPr>
      <w:r>
        <w:lastRenderedPageBreak/>
        <w:t>Yükseköğretim Programlarında Toplam Doluluk</w:t>
      </w:r>
      <w:r>
        <w:rPr>
          <w:spacing w:val="-5"/>
        </w:rPr>
        <w:t xml:space="preserve"> </w:t>
      </w:r>
      <w:r>
        <w:t>Oranı</w:t>
      </w:r>
    </w:p>
    <w:p w14:paraId="6FCBEB0D" w14:textId="77777777" w:rsidR="00D9330B" w:rsidRDefault="00D9330B" w:rsidP="00D9330B">
      <w:pPr>
        <w:pStyle w:val="GvdeMetni"/>
        <w:spacing w:before="11"/>
        <w:rPr>
          <w:b/>
        </w:rPr>
      </w:pPr>
    </w:p>
    <w:tbl>
      <w:tblPr>
        <w:tblStyle w:val="TableNormal1"/>
        <w:tblW w:w="0" w:type="auto"/>
        <w:tblInd w:w="2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97"/>
        <w:gridCol w:w="1673"/>
        <w:gridCol w:w="1481"/>
        <w:gridCol w:w="1791"/>
        <w:gridCol w:w="1507"/>
      </w:tblGrid>
      <w:tr w:rsidR="00D9330B" w14:paraId="434F07A6" w14:textId="77777777" w:rsidTr="00286018">
        <w:trPr>
          <w:trHeight w:val="704"/>
        </w:trPr>
        <w:tc>
          <w:tcPr>
            <w:tcW w:w="2497" w:type="dxa"/>
            <w:shd w:val="clear" w:color="auto" w:fill="DEEAF6"/>
          </w:tcPr>
          <w:p w14:paraId="7D0532C0" w14:textId="77777777" w:rsidR="00D9330B" w:rsidRDefault="00D9330B" w:rsidP="00286018">
            <w:pPr>
              <w:pStyle w:val="TableParagraph"/>
              <w:jc w:val="left"/>
            </w:pPr>
          </w:p>
        </w:tc>
        <w:tc>
          <w:tcPr>
            <w:tcW w:w="1673" w:type="dxa"/>
            <w:shd w:val="clear" w:color="auto" w:fill="DEEAF6"/>
          </w:tcPr>
          <w:p w14:paraId="4B78F8A5" w14:textId="77777777" w:rsidR="00D9330B" w:rsidRDefault="00D9330B" w:rsidP="00286018">
            <w:pPr>
              <w:pStyle w:val="TableParagraph"/>
              <w:spacing w:before="75"/>
              <w:ind w:left="97" w:right="432"/>
              <w:jc w:val="left"/>
              <w:rPr>
                <w:b/>
                <w:sz w:val="24"/>
              </w:rPr>
            </w:pPr>
            <w:r>
              <w:rPr>
                <w:b/>
                <w:sz w:val="24"/>
              </w:rPr>
              <w:t>Toplam Kontenjan</w:t>
            </w:r>
          </w:p>
        </w:tc>
        <w:tc>
          <w:tcPr>
            <w:tcW w:w="1481" w:type="dxa"/>
            <w:shd w:val="clear" w:color="auto" w:fill="DEEAF6"/>
          </w:tcPr>
          <w:p w14:paraId="7AE7A662" w14:textId="77777777" w:rsidR="00D9330B" w:rsidRDefault="00D9330B" w:rsidP="00286018">
            <w:pPr>
              <w:pStyle w:val="TableParagraph"/>
              <w:spacing w:before="75"/>
              <w:ind w:left="97"/>
              <w:jc w:val="left"/>
              <w:rPr>
                <w:b/>
                <w:sz w:val="24"/>
              </w:rPr>
            </w:pPr>
            <w:r>
              <w:rPr>
                <w:b/>
                <w:sz w:val="24"/>
              </w:rPr>
              <w:t>Toplam Yerleşen</w:t>
            </w:r>
          </w:p>
        </w:tc>
        <w:tc>
          <w:tcPr>
            <w:tcW w:w="1791" w:type="dxa"/>
            <w:shd w:val="clear" w:color="auto" w:fill="DEEAF6"/>
          </w:tcPr>
          <w:p w14:paraId="23E6F2A4" w14:textId="77777777" w:rsidR="00D9330B" w:rsidRDefault="00D9330B" w:rsidP="00286018">
            <w:pPr>
              <w:pStyle w:val="TableParagraph"/>
              <w:spacing w:before="75"/>
              <w:ind w:left="97" w:right="550"/>
              <w:jc w:val="left"/>
              <w:rPr>
                <w:b/>
                <w:sz w:val="24"/>
              </w:rPr>
            </w:pPr>
            <w:r>
              <w:rPr>
                <w:b/>
                <w:sz w:val="24"/>
              </w:rPr>
              <w:t>Boş Kalan Kontenjan</w:t>
            </w:r>
          </w:p>
        </w:tc>
        <w:tc>
          <w:tcPr>
            <w:tcW w:w="1507" w:type="dxa"/>
            <w:shd w:val="clear" w:color="auto" w:fill="DEEAF6"/>
          </w:tcPr>
          <w:p w14:paraId="6DF74CED" w14:textId="77777777" w:rsidR="00D9330B" w:rsidRDefault="00D9330B" w:rsidP="00286018">
            <w:pPr>
              <w:pStyle w:val="TableParagraph"/>
              <w:spacing w:before="75"/>
              <w:ind w:left="97" w:right="532"/>
              <w:jc w:val="left"/>
              <w:rPr>
                <w:b/>
                <w:sz w:val="24"/>
              </w:rPr>
            </w:pPr>
            <w:r>
              <w:rPr>
                <w:b/>
                <w:sz w:val="24"/>
              </w:rPr>
              <w:t>Doluluk Oranı</w:t>
            </w:r>
          </w:p>
        </w:tc>
      </w:tr>
      <w:tr w:rsidR="00D9330B" w14:paraId="7E34BCA6" w14:textId="77777777" w:rsidTr="00286018">
        <w:trPr>
          <w:trHeight w:val="390"/>
        </w:trPr>
        <w:tc>
          <w:tcPr>
            <w:tcW w:w="2497" w:type="dxa"/>
            <w:shd w:val="clear" w:color="auto" w:fill="ECECEC"/>
          </w:tcPr>
          <w:p w14:paraId="49E54658" w14:textId="77777777" w:rsidR="00D9330B" w:rsidRDefault="00D9330B" w:rsidP="00286018">
            <w:pPr>
              <w:pStyle w:val="TableParagraph"/>
              <w:spacing w:before="58"/>
              <w:ind w:left="97"/>
              <w:jc w:val="left"/>
              <w:rPr>
                <w:b/>
                <w:sz w:val="24"/>
              </w:rPr>
            </w:pPr>
            <w:r>
              <w:rPr>
                <w:b/>
                <w:sz w:val="24"/>
              </w:rPr>
              <w:t xml:space="preserve">2017 </w:t>
            </w:r>
            <w:r w:rsidRPr="005B39E7">
              <w:rPr>
                <w:b/>
                <w:sz w:val="18"/>
                <w:szCs w:val="18"/>
              </w:rPr>
              <w:t>(YGS-LYS Eski sistem)</w:t>
            </w:r>
          </w:p>
        </w:tc>
        <w:tc>
          <w:tcPr>
            <w:tcW w:w="1673" w:type="dxa"/>
          </w:tcPr>
          <w:p w14:paraId="7BC86C0A" w14:textId="77777777" w:rsidR="00D9330B" w:rsidRDefault="00D9330B" w:rsidP="00286018">
            <w:pPr>
              <w:pStyle w:val="TableParagraph"/>
              <w:spacing w:before="53"/>
              <w:ind w:left="415" w:right="407"/>
              <w:rPr>
                <w:sz w:val="24"/>
              </w:rPr>
            </w:pPr>
            <w:r>
              <w:rPr>
                <w:sz w:val="24"/>
              </w:rPr>
              <w:t>910.671</w:t>
            </w:r>
          </w:p>
        </w:tc>
        <w:tc>
          <w:tcPr>
            <w:tcW w:w="1481" w:type="dxa"/>
          </w:tcPr>
          <w:p w14:paraId="52E5C62D" w14:textId="77777777" w:rsidR="00D9330B" w:rsidRDefault="00D9330B" w:rsidP="00286018">
            <w:pPr>
              <w:pStyle w:val="TableParagraph"/>
              <w:spacing w:before="53"/>
              <w:ind w:left="339"/>
              <w:jc w:val="left"/>
              <w:rPr>
                <w:sz w:val="24"/>
              </w:rPr>
            </w:pPr>
            <w:r>
              <w:rPr>
                <w:sz w:val="24"/>
              </w:rPr>
              <w:t>696.288</w:t>
            </w:r>
          </w:p>
        </w:tc>
        <w:tc>
          <w:tcPr>
            <w:tcW w:w="1791" w:type="dxa"/>
          </w:tcPr>
          <w:p w14:paraId="53F080A4" w14:textId="77777777" w:rsidR="00D9330B" w:rsidRDefault="00D9330B" w:rsidP="00286018">
            <w:pPr>
              <w:pStyle w:val="TableParagraph"/>
              <w:spacing w:before="53"/>
              <w:ind w:left="473" w:right="468"/>
              <w:rPr>
                <w:sz w:val="24"/>
              </w:rPr>
            </w:pPr>
            <w:r>
              <w:rPr>
                <w:sz w:val="24"/>
              </w:rPr>
              <w:t>214.383</w:t>
            </w:r>
          </w:p>
        </w:tc>
        <w:tc>
          <w:tcPr>
            <w:tcW w:w="1507" w:type="dxa"/>
          </w:tcPr>
          <w:p w14:paraId="4C83FAAE" w14:textId="77777777" w:rsidR="00D9330B" w:rsidRDefault="00D9330B" w:rsidP="00286018">
            <w:pPr>
              <w:pStyle w:val="TableParagraph"/>
              <w:spacing w:before="58"/>
              <w:ind w:left="351"/>
              <w:jc w:val="left"/>
              <w:rPr>
                <w:b/>
                <w:sz w:val="24"/>
              </w:rPr>
            </w:pPr>
            <w:r>
              <w:rPr>
                <w:b/>
                <w:sz w:val="24"/>
              </w:rPr>
              <w:t>%76,4</w:t>
            </w:r>
            <w:r w:rsidRPr="00635718">
              <w:rPr>
                <w:b/>
                <w:sz w:val="24"/>
              </w:rPr>
              <w:t>6</w:t>
            </w:r>
          </w:p>
        </w:tc>
      </w:tr>
      <w:tr w:rsidR="00D9330B" w14:paraId="229EEA50" w14:textId="77777777" w:rsidTr="00286018">
        <w:trPr>
          <w:trHeight w:val="409"/>
        </w:trPr>
        <w:tc>
          <w:tcPr>
            <w:tcW w:w="2497" w:type="dxa"/>
            <w:shd w:val="clear" w:color="auto" w:fill="ECECEC"/>
          </w:tcPr>
          <w:p w14:paraId="48362B88" w14:textId="77777777" w:rsidR="00D9330B" w:rsidRDefault="00D9330B" w:rsidP="00286018">
            <w:pPr>
              <w:pStyle w:val="TableParagraph"/>
              <w:spacing w:before="65"/>
              <w:ind w:left="97"/>
              <w:jc w:val="left"/>
              <w:rPr>
                <w:b/>
                <w:sz w:val="24"/>
              </w:rPr>
            </w:pPr>
            <w:r>
              <w:rPr>
                <w:b/>
                <w:sz w:val="24"/>
              </w:rPr>
              <w:t>2018 (YKS)</w:t>
            </w:r>
          </w:p>
        </w:tc>
        <w:tc>
          <w:tcPr>
            <w:tcW w:w="1673" w:type="dxa"/>
          </w:tcPr>
          <w:p w14:paraId="6130EABA" w14:textId="77777777" w:rsidR="00D9330B" w:rsidRDefault="00D9330B" w:rsidP="00286018">
            <w:pPr>
              <w:pStyle w:val="TableParagraph"/>
              <w:spacing w:before="61"/>
              <w:ind w:left="415" w:right="407"/>
              <w:rPr>
                <w:sz w:val="24"/>
              </w:rPr>
            </w:pPr>
            <w:r>
              <w:rPr>
                <w:sz w:val="24"/>
              </w:rPr>
              <w:t>839.490</w:t>
            </w:r>
          </w:p>
        </w:tc>
        <w:tc>
          <w:tcPr>
            <w:tcW w:w="1481" w:type="dxa"/>
          </w:tcPr>
          <w:p w14:paraId="2CA9D81C" w14:textId="77777777" w:rsidR="00D9330B" w:rsidRDefault="00D9330B" w:rsidP="00286018">
            <w:pPr>
              <w:pStyle w:val="TableParagraph"/>
              <w:spacing w:before="61"/>
              <w:ind w:left="339"/>
              <w:jc w:val="left"/>
              <w:rPr>
                <w:sz w:val="24"/>
              </w:rPr>
            </w:pPr>
            <w:r>
              <w:rPr>
                <w:sz w:val="24"/>
              </w:rPr>
              <w:t>710.982</w:t>
            </w:r>
          </w:p>
        </w:tc>
        <w:tc>
          <w:tcPr>
            <w:tcW w:w="1791" w:type="dxa"/>
          </w:tcPr>
          <w:p w14:paraId="0AD46B4A" w14:textId="77777777" w:rsidR="00D9330B" w:rsidRDefault="00D9330B" w:rsidP="00286018">
            <w:pPr>
              <w:pStyle w:val="TableParagraph"/>
              <w:spacing w:before="61"/>
              <w:ind w:left="473" w:right="468"/>
              <w:rPr>
                <w:sz w:val="24"/>
              </w:rPr>
            </w:pPr>
            <w:r>
              <w:rPr>
                <w:sz w:val="24"/>
              </w:rPr>
              <w:t>128.508</w:t>
            </w:r>
          </w:p>
        </w:tc>
        <w:tc>
          <w:tcPr>
            <w:tcW w:w="1507" w:type="dxa"/>
          </w:tcPr>
          <w:p w14:paraId="1224A371" w14:textId="77777777" w:rsidR="00D9330B" w:rsidRDefault="00D9330B" w:rsidP="00286018">
            <w:pPr>
              <w:pStyle w:val="TableParagraph"/>
              <w:spacing w:before="65"/>
              <w:ind w:left="351"/>
              <w:jc w:val="left"/>
              <w:rPr>
                <w:b/>
                <w:sz w:val="24"/>
              </w:rPr>
            </w:pPr>
            <w:r>
              <w:rPr>
                <w:b/>
                <w:sz w:val="24"/>
              </w:rPr>
              <w:t>%84,69</w:t>
            </w:r>
          </w:p>
        </w:tc>
      </w:tr>
      <w:tr w:rsidR="00D9330B" w14:paraId="675F1907" w14:textId="77777777" w:rsidTr="00286018">
        <w:trPr>
          <w:trHeight w:val="389"/>
        </w:trPr>
        <w:tc>
          <w:tcPr>
            <w:tcW w:w="2497" w:type="dxa"/>
            <w:shd w:val="clear" w:color="auto" w:fill="ECECEC"/>
          </w:tcPr>
          <w:p w14:paraId="458FC4BF" w14:textId="77777777" w:rsidR="00D9330B" w:rsidRDefault="00D9330B" w:rsidP="00286018">
            <w:pPr>
              <w:pStyle w:val="TableParagraph"/>
              <w:spacing w:before="56"/>
              <w:ind w:left="97"/>
              <w:jc w:val="left"/>
              <w:rPr>
                <w:b/>
                <w:sz w:val="24"/>
              </w:rPr>
            </w:pPr>
            <w:r>
              <w:rPr>
                <w:b/>
                <w:sz w:val="24"/>
              </w:rPr>
              <w:t>2019 (YKS)</w:t>
            </w:r>
          </w:p>
        </w:tc>
        <w:tc>
          <w:tcPr>
            <w:tcW w:w="1673" w:type="dxa"/>
          </w:tcPr>
          <w:p w14:paraId="377BAA61" w14:textId="77777777" w:rsidR="00D9330B" w:rsidRDefault="00D9330B" w:rsidP="00286018">
            <w:pPr>
              <w:pStyle w:val="TableParagraph"/>
              <w:spacing w:before="51"/>
              <w:ind w:left="415" w:right="407"/>
              <w:rPr>
                <w:sz w:val="24"/>
              </w:rPr>
            </w:pPr>
            <w:r>
              <w:rPr>
                <w:sz w:val="24"/>
              </w:rPr>
              <w:t>824.694</w:t>
            </w:r>
          </w:p>
        </w:tc>
        <w:tc>
          <w:tcPr>
            <w:tcW w:w="1481" w:type="dxa"/>
          </w:tcPr>
          <w:p w14:paraId="1E4420A9" w14:textId="77777777" w:rsidR="00D9330B" w:rsidRDefault="00D9330B" w:rsidP="00286018">
            <w:pPr>
              <w:pStyle w:val="TableParagraph"/>
              <w:spacing w:before="51"/>
              <w:ind w:left="339"/>
              <w:jc w:val="left"/>
              <w:rPr>
                <w:sz w:val="24"/>
              </w:rPr>
            </w:pPr>
            <w:r>
              <w:rPr>
                <w:sz w:val="24"/>
              </w:rPr>
              <w:t>753.461</w:t>
            </w:r>
          </w:p>
        </w:tc>
        <w:tc>
          <w:tcPr>
            <w:tcW w:w="1791" w:type="dxa"/>
          </w:tcPr>
          <w:p w14:paraId="36A5A992" w14:textId="77777777" w:rsidR="00D9330B" w:rsidRDefault="00D9330B" w:rsidP="00286018">
            <w:pPr>
              <w:pStyle w:val="TableParagraph"/>
              <w:spacing w:before="51"/>
              <w:ind w:left="473" w:right="468"/>
              <w:rPr>
                <w:sz w:val="24"/>
              </w:rPr>
            </w:pPr>
            <w:r>
              <w:rPr>
                <w:sz w:val="24"/>
              </w:rPr>
              <w:t>71.233</w:t>
            </w:r>
          </w:p>
        </w:tc>
        <w:tc>
          <w:tcPr>
            <w:tcW w:w="1507" w:type="dxa"/>
          </w:tcPr>
          <w:p w14:paraId="0C670608" w14:textId="77777777" w:rsidR="00D9330B" w:rsidRDefault="00D9330B" w:rsidP="00286018">
            <w:pPr>
              <w:pStyle w:val="TableParagraph"/>
              <w:spacing w:before="56"/>
              <w:ind w:left="351"/>
              <w:jc w:val="left"/>
              <w:rPr>
                <w:b/>
                <w:sz w:val="24"/>
              </w:rPr>
            </w:pPr>
            <w:r>
              <w:rPr>
                <w:b/>
                <w:sz w:val="24"/>
              </w:rPr>
              <w:t>%91,36</w:t>
            </w:r>
          </w:p>
        </w:tc>
      </w:tr>
      <w:tr w:rsidR="00D9330B" w14:paraId="029C2F65" w14:textId="77777777" w:rsidTr="00286018">
        <w:trPr>
          <w:trHeight w:val="389"/>
        </w:trPr>
        <w:tc>
          <w:tcPr>
            <w:tcW w:w="2497" w:type="dxa"/>
            <w:shd w:val="clear" w:color="auto" w:fill="ECECEC"/>
          </w:tcPr>
          <w:p w14:paraId="464FFD41" w14:textId="77777777" w:rsidR="00D9330B" w:rsidRDefault="00D9330B" w:rsidP="00286018">
            <w:pPr>
              <w:pStyle w:val="TableParagraph"/>
              <w:spacing w:before="56"/>
              <w:ind w:left="97"/>
              <w:jc w:val="left"/>
              <w:rPr>
                <w:b/>
                <w:sz w:val="24"/>
              </w:rPr>
            </w:pPr>
            <w:r>
              <w:rPr>
                <w:b/>
                <w:sz w:val="24"/>
              </w:rPr>
              <w:t>2020 (YKS)</w:t>
            </w:r>
          </w:p>
        </w:tc>
        <w:tc>
          <w:tcPr>
            <w:tcW w:w="1673" w:type="dxa"/>
            <w:vAlign w:val="center"/>
          </w:tcPr>
          <w:p w14:paraId="05B38D0B" w14:textId="77777777" w:rsidR="00D9330B" w:rsidRPr="007176E9" w:rsidRDefault="00D9330B" w:rsidP="00286018">
            <w:pPr>
              <w:pStyle w:val="TableParagraph"/>
              <w:spacing w:before="51"/>
              <w:ind w:left="415" w:right="407"/>
              <w:rPr>
                <w:sz w:val="24"/>
                <w:szCs w:val="24"/>
              </w:rPr>
            </w:pPr>
            <w:r w:rsidRPr="007176E9">
              <w:rPr>
                <w:color w:val="000000" w:themeColor="text1"/>
                <w:sz w:val="24"/>
                <w:szCs w:val="24"/>
              </w:rPr>
              <w:t>838.221</w:t>
            </w:r>
          </w:p>
        </w:tc>
        <w:tc>
          <w:tcPr>
            <w:tcW w:w="1481" w:type="dxa"/>
            <w:vAlign w:val="center"/>
          </w:tcPr>
          <w:p w14:paraId="54369E16" w14:textId="77777777" w:rsidR="00D9330B" w:rsidRPr="007176E9" w:rsidRDefault="00D9330B" w:rsidP="00286018">
            <w:pPr>
              <w:pStyle w:val="TableParagraph"/>
              <w:spacing w:before="51"/>
              <w:ind w:left="339"/>
              <w:jc w:val="left"/>
              <w:rPr>
                <w:sz w:val="24"/>
                <w:szCs w:val="24"/>
              </w:rPr>
            </w:pPr>
            <w:r w:rsidRPr="007176E9">
              <w:rPr>
                <w:color w:val="000000" w:themeColor="text1"/>
                <w:sz w:val="24"/>
                <w:szCs w:val="24"/>
              </w:rPr>
              <w:t>781.165</w:t>
            </w:r>
          </w:p>
        </w:tc>
        <w:tc>
          <w:tcPr>
            <w:tcW w:w="1791" w:type="dxa"/>
            <w:vAlign w:val="center"/>
          </w:tcPr>
          <w:p w14:paraId="4E5B8995" w14:textId="77777777" w:rsidR="00D9330B" w:rsidRPr="006F7F27" w:rsidRDefault="00D9330B" w:rsidP="00286018">
            <w:pPr>
              <w:pStyle w:val="TableParagraph"/>
              <w:spacing w:before="51"/>
              <w:ind w:left="473" w:right="468"/>
              <w:rPr>
                <w:sz w:val="24"/>
                <w:szCs w:val="24"/>
              </w:rPr>
            </w:pPr>
            <w:r w:rsidRPr="006F7F27">
              <w:rPr>
                <w:color w:val="000000" w:themeColor="text1"/>
                <w:sz w:val="24"/>
                <w:szCs w:val="24"/>
              </w:rPr>
              <w:t>57.05</w:t>
            </w:r>
            <w:r>
              <w:rPr>
                <w:color w:val="000000" w:themeColor="text1"/>
                <w:sz w:val="24"/>
                <w:szCs w:val="24"/>
              </w:rPr>
              <w:t>6</w:t>
            </w:r>
          </w:p>
        </w:tc>
        <w:tc>
          <w:tcPr>
            <w:tcW w:w="1507" w:type="dxa"/>
            <w:vAlign w:val="center"/>
          </w:tcPr>
          <w:p w14:paraId="28B9FFEF" w14:textId="77777777" w:rsidR="00D9330B" w:rsidRPr="006F7F27" w:rsidRDefault="00D9330B" w:rsidP="00286018">
            <w:pPr>
              <w:pStyle w:val="TableParagraph"/>
              <w:spacing w:before="56"/>
              <w:ind w:left="351"/>
              <w:jc w:val="left"/>
              <w:rPr>
                <w:b/>
                <w:sz w:val="24"/>
                <w:szCs w:val="24"/>
              </w:rPr>
            </w:pPr>
            <w:r>
              <w:rPr>
                <w:b/>
                <w:color w:val="000000" w:themeColor="text1"/>
                <w:sz w:val="24"/>
                <w:szCs w:val="24"/>
              </w:rPr>
              <w:t>%</w:t>
            </w:r>
            <w:r w:rsidRPr="006F7F27">
              <w:rPr>
                <w:b/>
                <w:color w:val="000000" w:themeColor="text1"/>
                <w:sz w:val="24"/>
                <w:szCs w:val="24"/>
              </w:rPr>
              <w:t>93,19</w:t>
            </w:r>
          </w:p>
        </w:tc>
      </w:tr>
    </w:tbl>
    <w:p w14:paraId="3CD2F8AE" w14:textId="77777777" w:rsidR="00D9330B" w:rsidRDefault="00D9330B" w:rsidP="00D9330B">
      <w:pPr>
        <w:pStyle w:val="GvdeMetni"/>
        <w:spacing w:before="1" w:line="360" w:lineRule="auto"/>
        <w:ind w:right="321"/>
        <w:jc w:val="both"/>
      </w:pPr>
    </w:p>
    <w:p w14:paraId="049AED87" w14:textId="77777777" w:rsidR="00D9330B" w:rsidRDefault="00D9330B" w:rsidP="00D9330B">
      <w:pPr>
        <w:pStyle w:val="GvdeMetni"/>
        <w:spacing w:before="1" w:line="360" w:lineRule="auto"/>
        <w:ind w:left="178" w:right="321" w:firstLine="707"/>
        <w:jc w:val="both"/>
      </w:pPr>
    </w:p>
    <w:p w14:paraId="46971501" w14:textId="77777777" w:rsidR="00D9330B" w:rsidRDefault="00D9330B" w:rsidP="00D9330B">
      <w:pPr>
        <w:pStyle w:val="GvdeMetni"/>
        <w:spacing w:before="1" w:line="360" w:lineRule="auto"/>
        <w:ind w:left="178" w:right="321" w:firstLine="707"/>
        <w:jc w:val="both"/>
      </w:pPr>
      <w:r>
        <w:rPr>
          <w:noProof/>
          <w:lang w:bidi="ar-SA"/>
        </w:rPr>
        <w:drawing>
          <wp:anchor distT="0" distB="0" distL="0" distR="0" simplePos="0" relativeHeight="251659264" behindDoc="1" locked="0" layoutInCell="1" allowOverlap="1" wp14:anchorId="402F92CD" wp14:editId="7C1FAA65">
            <wp:simplePos x="0" y="0"/>
            <wp:positionH relativeFrom="page">
              <wp:posOffset>6745223</wp:posOffset>
            </wp:positionH>
            <wp:positionV relativeFrom="paragraph">
              <wp:posOffset>1003073</wp:posOffset>
            </wp:positionV>
            <wp:extent cx="235457" cy="329958"/>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0" cstate="print"/>
                    <a:stretch>
                      <a:fillRect/>
                    </a:stretch>
                  </pic:blipFill>
                  <pic:spPr>
                    <a:xfrm>
                      <a:off x="0" y="0"/>
                      <a:ext cx="235457" cy="329958"/>
                    </a:xfrm>
                    <a:prstGeom prst="rect">
                      <a:avLst/>
                    </a:prstGeom>
                  </pic:spPr>
                </pic:pic>
              </a:graphicData>
            </a:graphic>
          </wp:anchor>
        </w:drawing>
      </w:r>
      <w:r>
        <w:t xml:space="preserve">Yerleştirme sonuçlarına göre </w:t>
      </w:r>
      <w:r>
        <w:rPr>
          <w:b/>
        </w:rPr>
        <w:t xml:space="preserve">2017 </w:t>
      </w:r>
      <w:r>
        <w:t xml:space="preserve">yılında boş kalan kontenjan sayısı </w:t>
      </w:r>
      <w:r>
        <w:rPr>
          <w:b/>
        </w:rPr>
        <w:t xml:space="preserve">214.383 </w:t>
      </w:r>
      <w:r>
        <w:t xml:space="preserve">iken YKS sistemine geçildiği ilk sene olan </w:t>
      </w:r>
      <w:r>
        <w:rPr>
          <w:b/>
        </w:rPr>
        <w:t xml:space="preserve">2018 </w:t>
      </w:r>
      <w:r>
        <w:t xml:space="preserve">yılında bu sayı büyük bir azalma göstererek </w:t>
      </w:r>
      <w:r>
        <w:rPr>
          <w:b/>
        </w:rPr>
        <w:t xml:space="preserve">128.508 </w:t>
      </w:r>
      <w:r>
        <w:t xml:space="preserve">olmuş, </w:t>
      </w:r>
      <w:proofErr w:type="spellStart"/>
      <w:r>
        <w:t>YKS’nin</w:t>
      </w:r>
      <w:proofErr w:type="spellEnd"/>
      <w:r>
        <w:t xml:space="preserve"> ikinci defa uygulandığı </w:t>
      </w:r>
      <w:r>
        <w:rPr>
          <w:b/>
        </w:rPr>
        <w:t xml:space="preserve">2019 </w:t>
      </w:r>
      <w:r>
        <w:t xml:space="preserve">yılında gerileyişini sürdürerek </w:t>
      </w:r>
      <w:r>
        <w:rPr>
          <w:b/>
        </w:rPr>
        <w:t xml:space="preserve">71.233 </w:t>
      </w:r>
      <w:proofErr w:type="gramStart"/>
      <w:r>
        <w:t xml:space="preserve">olmuş;  </w:t>
      </w:r>
      <w:proofErr w:type="spellStart"/>
      <w:r>
        <w:t>YKS’nin</w:t>
      </w:r>
      <w:proofErr w:type="spellEnd"/>
      <w:proofErr w:type="gramEnd"/>
      <w:r>
        <w:t xml:space="preserve"> üçüncü defa uygulandığı </w:t>
      </w:r>
      <w:r>
        <w:rPr>
          <w:b/>
        </w:rPr>
        <w:t xml:space="preserve">2020 </w:t>
      </w:r>
      <w:r>
        <w:t xml:space="preserve">yılında ise daha da gerileyerek </w:t>
      </w:r>
      <w:r w:rsidRPr="00693D1A">
        <w:rPr>
          <w:b/>
        </w:rPr>
        <w:t>57.05</w:t>
      </w:r>
      <w:r>
        <w:rPr>
          <w:b/>
        </w:rPr>
        <w:t>6</w:t>
      </w:r>
      <w:r>
        <w:t xml:space="preserve"> olmuştur. Program kontenjanlarında yapılan rasyonel planlamalar sonucunda </w:t>
      </w:r>
      <w:r>
        <w:rPr>
          <w:b/>
        </w:rPr>
        <w:t xml:space="preserve">2017 </w:t>
      </w:r>
      <w:r>
        <w:t xml:space="preserve">yılında </w:t>
      </w:r>
      <w:r>
        <w:rPr>
          <w:b/>
        </w:rPr>
        <w:t>%76,</w:t>
      </w:r>
      <w:r w:rsidRPr="00635718">
        <w:rPr>
          <w:b/>
        </w:rPr>
        <w:t>46</w:t>
      </w:r>
      <w:r>
        <w:rPr>
          <w:b/>
        </w:rPr>
        <w:t xml:space="preserve"> </w:t>
      </w:r>
      <w:r>
        <w:t xml:space="preserve">olan programlardaki doluluk oranı, </w:t>
      </w:r>
      <w:r>
        <w:rPr>
          <w:b/>
        </w:rPr>
        <w:t xml:space="preserve">2018 </w:t>
      </w:r>
      <w:r>
        <w:t xml:space="preserve">yılında </w:t>
      </w:r>
      <w:r>
        <w:rPr>
          <w:b/>
        </w:rPr>
        <w:t>%84,69</w:t>
      </w:r>
      <w:r>
        <w:t xml:space="preserve">’a yükselmiş, </w:t>
      </w:r>
      <w:r>
        <w:rPr>
          <w:b/>
        </w:rPr>
        <w:t xml:space="preserve">2019 </w:t>
      </w:r>
      <w:r>
        <w:t xml:space="preserve">yılında artışını sürdürerek </w:t>
      </w:r>
      <w:r>
        <w:rPr>
          <w:b/>
        </w:rPr>
        <w:t xml:space="preserve">%91,36’e, 2020 </w:t>
      </w:r>
      <w:r>
        <w:t xml:space="preserve">yılında daha da artarak </w:t>
      </w:r>
      <w:r w:rsidRPr="00693D1A">
        <w:rPr>
          <w:b/>
        </w:rPr>
        <w:t>%93,19’</w:t>
      </w:r>
      <w:r>
        <w:t xml:space="preserve">a yükselmiştir. Geçen seneye kıyasla boş kontenjanlarda </w:t>
      </w:r>
      <w:r>
        <w:rPr>
          <w:b/>
        </w:rPr>
        <w:t xml:space="preserve">14.177, </w:t>
      </w:r>
      <w:proofErr w:type="spellStart"/>
      <w:r w:rsidRPr="00693D1A">
        <w:t>YKS’nin</w:t>
      </w:r>
      <w:proofErr w:type="spellEnd"/>
      <w:r w:rsidRPr="00693D1A">
        <w:t xml:space="preserve"> ilk defa uygulandığı yıla göre</w:t>
      </w:r>
      <w:r>
        <w:rPr>
          <w:b/>
        </w:rPr>
        <w:t xml:space="preserve"> </w:t>
      </w:r>
      <w:r w:rsidRPr="003153FC">
        <w:t xml:space="preserve">ise </w:t>
      </w:r>
      <w:r>
        <w:rPr>
          <w:b/>
        </w:rPr>
        <w:t xml:space="preserve">71.452 </w:t>
      </w:r>
      <w:r>
        <w:t>azalma sağlanmıştır.</w:t>
      </w:r>
    </w:p>
    <w:p w14:paraId="2D0DB3B6" w14:textId="77777777" w:rsidR="00D9330B" w:rsidRPr="006A6A73" w:rsidRDefault="00D9330B" w:rsidP="00D9330B">
      <w:pPr>
        <w:spacing w:before="173" w:line="360" w:lineRule="auto"/>
        <w:ind w:left="178" w:right="325" w:firstLine="707"/>
        <w:jc w:val="both"/>
        <w:rPr>
          <w:b/>
          <w:bCs/>
          <w:sz w:val="24"/>
          <w:szCs w:val="24"/>
        </w:rPr>
      </w:pPr>
      <w:r>
        <w:rPr>
          <w:sz w:val="24"/>
        </w:rPr>
        <w:t>Yapılacak “Ek Yerleştirme” ile yükseköğretimde</w:t>
      </w:r>
      <w:r>
        <w:rPr>
          <w:spacing w:val="-12"/>
          <w:sz w:val="24"/>
        </w:rPr>
        <w:t xml:space="preserve"> </w:t>
      </w:r>
      <w:r>
        <w:rPr>
          <w:sz w:val="24"/>
        </w:rPr>
        <w:t>2020 yılı kontenjan</w:t>
      </w:r>
      <w:r>
        <w:rPr>
          <w:spacing w:val="-11"/>
          <w:sz w:val="24"/>
        </w:rPr>
        <w:t xml:space="preserve"> </w:t>
      </w:r>
      <w:r>
        <w:rPr>
          <w:sz w:val="24"/>
        </w:rPr>
        <w:t>doluluk</w:t>
      </w:r>
      <w:r>
        <w:rPr>
          <w:spacing w:val="-12"/>
          <w:sz w:val="24"/>
        </w:rPr>
        <w:t xml:space="preserve"> </w:t>
      </w:r>
      <w:r>
        <w:rPr>
          <w:sz w:val="24"/>
        </w:rPr>
        <w:t>oranının</w:t>
      </w:r>
      <w:r>
        <w:rPr>
          <w:spacing w:val="-9"/>
          <w:sz w:val="24"/>
        </w:rPr>
        <w:t xml:space="preserve"> </w:t>
      </w:r>
      <w:r>
        <w:rPr>
          <w:sz w:val="24"/>
        </w:rPr>
        <w:t>daha</w:t>
      </w:r>
      <w:r>
        <w:rPr>
          <w:spacing w:val="-11"/>
          <w:sz w:val="24"/>
        </w:rPr>
        <w:t xml:space="preserve"> </w:t>
      </w:r>
      <w:r>
        <w:rPr>
          <w:sz w:val="24"/>
        </w:rPr>
        <w:t>da</w:t>
      </w:r>
      <w:r>
        <w:rPr>
          <w:spacing w:val="-12"/>
          <w:sz w:val="24"/>
        </w:rPr>
        <w:t xml:space="preserve"> </w:t>
      </w:r>
      <w:r>
        <w:rPr>
          <w:sz w:val="24"/>
        </w:rPr>
        <w:t>artacağı</w:t>
      </w:r>
      <w:r>
        <w:rPr>
          <w:spacing w:val="-12"/>
          <w:sz w:val="24"/>
        </w:rPr>
        <w:t xml:space="preserve"> </w:t>
      </w:r>
      <w:r>
        <w:rPr>
          <w:sz w:val="24"/>
        </w:rPr>
        <w:t>düşünülmektedir.</w:t>
      </w:r>
      <w:r>
        <w:rPr>
          <w:spacing w:val="-12"/>
          <w:sz w:val="24"/>
        </w:rPr>
        <w:t xml:space="preserve"> </w:t>
      </w:r>
      <w:r>
        <w:rPr>
          <w:sz w:val="24"/>
        </w:rPr>
        <w:t>Geçen</w:t>
      </w:r>
      <w:r>
        <w:rPr>
          <w:spacing w:val="-11"/>
          <w:sz w:val="24"/>
        </w:rPr>
        <w:t xml:space="preserve"> </w:t>
      </w:r>
      <w:r>
        <w:rPr>
          <w:sz w:val="24"/>
        </w:rPr>
        <w:t>sene</w:t>
      </w:r>
      <w:r>
        <w:rPr>
          <w:spacing w:val="-13"/>
          <w:sz w:val="24"/>
        </w:rPr>
        <w:t xml:space="preserve"> </w:t>
      </w:r>
      <w:r>
        <w:rPr>
          <w:sz w:val="24"/>
        </w:rPr>
        <w:t>ikinci kez</w:t>
      </w:r>
      <w:r>
        <w:rPr>
          <w:spacing w:val="-11"/>
          <w:sz w:val="24"/>
        </w:rPr>
        <w:t xml:space="preserve"> başarıyla </w:t>
      </w:r>
      <w:r>
        <w:rPr>
          <w:sz w:val="24"/>
        </w:rPr>
        <w:t>uygulanan</w:t>
      </w:r>
      <w:r>
        <w:rPr>
          <w:spacing w:val="-10"/>
          <w:sz w:val="24"/>
        </w:rPr>
        <w:t xml:space="preserve"> </w:t>
      </w:r>
      <w:proofErr w:type="spellStart"/>
      <w:r>
        <w:rPr>
          <w:sz w:val="24"/>
        </w:rPr>
        <w:t>YKS’nin</w:t>
      </w:r>
      <w:proofErr w:type="spellEnd"/>
      <w:r>
        <w:rPr>
          <w:spacing w:val="-11"/>
          <w:sz w:val="24"/>
        </w:rPr>
        <w:t xml:space="preserve"> </w:t>
      </w:r>
      <w:r>
        <w:rPr>
          <w:sz w:val="24"/>
        </w:rPr>
        <w:t>üçüncü</w:t>
      </w:r>
      <w:r>
        <w:rPr>
          <w:spacing w:val="-9"/>
          <w:sz w:val="24"/>
        </w:rPr>
        <w:t xml:space="preserve"> </w:t>
      </w:r>
      <w:r>
        <w:rPr>
          <w:sz w:val="24"/>
        </w:rPr>
        <w:t>yılında</w:t>
      </w:r>
      <w:r>
        <w:rPr>
          <w:spacing w:val="-9"/>
          <w:sz w:val="24"/>
        </w:rPr>
        <w:t xml:space="preserve"> </w:t>
      </w:r>
      <w:r>
        <w:rPr>
          <w:sz w:val="24"/>
        </w:rPr>
        <w:t>da</w:t>
      </w:r>
      <w:r>
        <w:rPr>
          <w:spacing w:val="-12"/>
          <w:sz w:val="24"/>
        </w:rPr>
        <w:t xml:space="preserve"> </w:t>
      </w:r>
      <w:r>
        <w:rPr>
          <w:sz w:val="24"/>
        </w:rPr>
        <w:t>olumlu</w:t>
      </w:r>
      <w:r>
        <w:rPr>
          <w:spacing w:val="-11"/>
          <w:sz w:val="24"/>
        </w:rPr>
        <w:t xml:space="preserve"> </w:t>
      </w:r>
      <w:r>
        <w:rPr>
          <w:sz w:val="24"/>
        </w:rPr>
        <w:t>sonuçlar</w:t>
      </w:r>
      <w:r>
        <w:rPr>
          <w:spacing w:val="-10"/>
          <w:sz w:val="24"/>
        </w:rPr>
        <w:t xml:space="preserve"> </w:t>
      </w:r>
      <w:r>
        <w:rPr>
          <w:sz w:val="24"/>
        </w:rPr>
        <w:t>verdiği</w:t>
      </w:r>
      <w:r>
        <w:rPr>
          <w:spacing w:val="-8"/>
          <w:sz w:val="24"/>
        </w:rPr>
        <w:t xml:space="preserve"> </w:t>
      </w:r>
      <w:r>
        <w:rPr>
          <w:sz w:val="24"/>
        </w:rPr>
        <w:t>görülmektedir.</w:t>
      </w:r>
      <w:r>
        <w:rPr>
          <w:spacing w:val="-12"/>
          <w:sz w:val="24"/>
        </w:rPr>
        <w:t xml:space="preserve"> </w:t>
      </w:r>
      <w:r>
        <w:rPr>
          <w:sz w:val="24"/>
        </w:rPr>
        <w:t>2017</w:t>
      </w:r>
      <w:r>
        <w:rPr>
          <w:spacing w:val="-6"/>
          <w:sz w:val="24"/>
        </w:rPr>
        <w:t xml:space="preserve"> </w:t>
      </w:r>
      <w:r>
        <w:rPr>
          <w:sz w:val="24"/>
        </w:rPr>
        <w:t>yılından</w:t>
      </w:r>
      <w:r>
        <w:rPr>
          <w:spacing w:val="-11"/>
          <w:sz w:val="24"/>
        </w:rPr>
        <w:t xml:space="preserve"> </w:t>
      </w:r>
      <w:r>
        <w:rPr>
          <w:sz w:val="24"/>
        </w:rPr>
        <w:t xml:space="preserve">bu yana doluluk oranları kıyaslandığında </w:t>
      </w:r>
      <w:r>
        <w:rPr>
          <w:b/>
          <w:sz w:val="24"/>
        </w:rPr>
        <w:t xml:space="preserve">doluluk oranının %95’e yaklaştığı </w:t>
      </w:r>
      <w:r>
        <w:rPr>
          <w:sz w:val="24"/>
        </w:rPr>
        <w:t xml:space="preserve">ve </w:t>
      </w:r>
      <w:r>
        <w:rPr>
          <w:b/>
          <w:sz w:val="24"/>
        </w:rPr>
        <w:t>boş kontenjanlarda</w:t>
      </w:r>
      <w:r>
        <w:rPr>
          <w:b/>
          <w:spacing w:val="-7"/>
          <w:sz w:val="24"/>
        </w:rPr>
        <w:t xml:space="preserve"> </w:t>
      </w:r>
      <w:r>
        <w:rPr>
          <w:b/>
          <w:sz w:val="24"/>
        </w:rPr>
        <w:t>ise</w:t>
      </w:r>
      <w:r>
        <w:rPr>
          <w:b/>
          <w:spacing w:val="-6"/>
          <w:sz w:val="24"/>
        </w:rPr>
        <w:t xml:space="preserve"> </w:t>
      </w:r>
      <w:r>
        <w:rPr>
          <w:b/>
          <w:sz w:val="24"/>
        </w:rPr>
        <w:t>önemli</w:t>
      </w:r>
      <w:r>
        <w:rPr>
          <w:b/>
          <w:spacing w:val="-6"/>
          <w:sz w:val="24"/>
        </w:rPr>
        <w:t xml:space="preserve"> </w:t>
      </w:r>
      <w:r>
        <w:rPr>
          <w:b/>
          <w:sz w:val="24"/>
        </w:rPr>
        <w:t>düzeyde</w:t>
      </w:r>
      <w:r>
        <w:rPr>
          <w:b/>
          <w:spacing w:val="-8"/>
          <w:sz w:val="24"/>
        </w:rPr>
        <w:t xml:space="preserve"> </w:t>
      </w:r>
      <w:r>
        <w:rPr>
          <w:b/>
          <w:sz w:val="24"/>
        </w:rPr>
        <w:t>bir</w:t>
      </w:r>
      <w:r>
        <w:rPr>
          <w:b/>
          <w:spacing w:val="-7"/>
          <w:sz w:val="24"/>
        </w:rPr>
        <w:t xml:space="preserve"> </w:t>
      </w:r>
      <w:r>
        <w:rPr>
          <w:b/>
          <w:sz w:val="24"/>
        </w:rPr>
        <w:t>azalma</w:t>
      </w:r>
      <w:r>
        <w:rPr>
          <w:b/>
          <w:spacing w:val="-4"/>
          <w:sz w:val="24"/>
        </w:rPr>
        <w:t xml:space="preserve"> </w:t>
      </w:r>
      <w:r>
        <w:rPr>
          <w:b/>
          <w:sz w:val="24"/>
        </w:rPr>
        <w:t>olduğu,</w:t>
      </w:r>
      <w:r>
        <w:rPr>
          <w:b/>
          <w:spacing w:val="-4"/>
          <w:sz w:val="24"/>
        </w:rPr>
        <w:t xml:space="preserve"> </w:t>
      </w:r>
      <w:r>
        <w:rPr>
          <w:sz w:val="24"/>
        </w:rPr>
        <w:t>bu</w:t>
      </w:r>
      <w:r>
        <w:rPr>
          <w:spacing w:val="-7"/>
          <w:sz w:val="24"/>
        </w:rPr>
        <w:t xml:space="preserve"> </w:t>
      </w:r>
      <w:r>
        <w:rPr>
          <w:sz w:val="24"/>
        </w:rPr>
        <w:t>konuda</w:t>
      </w:r>
      <w:r>
        <w:rPr>
          <w:spacing w:val="-7"/>
          <w:sz w:val="24"/>
        </w:rPr>
        <w:t xml:space="preserve"> </w:t>
      </w:r>
      <w:r>
        <w:rPr>
          <w:sz w:val="24"/>
        </w:rPr>
        <w:t>ciddi</w:t>
      </w:r>
      <w:r>
        <w:rPr>
          <w:spacing w:val="-6"/>
          <w:sz w:val="24"/>
        </w:rPr>
        <w:t xml:space="preserve"> </w:t>
      </w:r>
      <w:r>
        <w:rPr>
          <w:sz w:val="24"/>
        </w:rPr>
        <w:t>bir</w:t>
      </w:r>
      <w:r>
        <w:rPr>
          <w:spacing w:val="-7"/>
          <w:sz w:val="24"/>
        </w:rPr>
        <w:t xml:space="preserve"> </w:t>
      </w:r>
      <w:r>
        <w:rPr>
          <w:sz w:val="24"/>
        </w:rPr>
        <w:t>iyileşme</w:t>
      </w:r>
      <w:r>
        <w:rPr>
          <w:spacing w:val="-6"/>
          <w:sz w:val="24"/>
        </w:rPr>
        <w:t xml:space="preserve"> </w:t>
      </w:r>
      <w:r>
        <w:rPr>
          <w:sz w:val="24"/>
        </w:rPr>
        <w:t xml:space="preserve">sağlandığı </w:t>
      </w:r>
      <w:r w:rsidRPr="00693D1A">
        <w:rPr>
          <w:b/>
          <w:sz w:val="24"/>
          <w:szCs w:val="24"/>
        </w:rPr>
        <w:t>gözlemlenmiştir.</w:t>
      </w:r>
      <w:r w:rsidRPr="00693D1A">
        <w:rPr>
          <w:b/>
          <w:spacing w:val="-16"/>
          <w:sz w:val="24"/>
          <w:szCs w:val="24"/>
        </w:rPr>
        <w:t xml:space="preserve"> </w:t>
      </w:r>
      <w:r w:rsidRPr="00693D1A">
        <w:rPr>
          <w:sz w:val="24"/>
          <w:szCs w:val="24"/>
        </w:rPr>
        <w:t>Bu</w:t>
      </w:r>
      <w:r w:rsidRPr="00693D1A">
        <w:rPr>
          <w:spacing w:val="-15"/>
          <w:sz w:val="24"/>
          <w:szCs w:val="24"/>
        </w:rPr>
        <w:t xml:space="preserve"> </w:t>
      </w:r>
      <w:r w:rsidRPr="00693D1A">
        <w:rPr>
          <w:sz w:val="24"/>
          <w:szCs w:val="24"/>
        </w:rPr>
        <w:t>sonuç,</w:t>
      </w:r>
      <w:r w:rsidRPr="00693D1A">
        <w:rPr>
          <w:spacing w:val="-15"/>
          <w:sz w:val="24"/>
          <w:szCs w:val="24"/>
        </w:rPr>
        <w:t xml:space="preserve"> </w:t>
      </w:r>
      <w:r w:rsidRPr="005B39E7">
        <w:rPr>
          <w:b/>
          <w:bCs/>
          <w:sz w:val="24"/>
          <w:szCs w:val="24"/>
        </w:rPr>
        <w:t>YÖK’ün</w:t>
      </w:r>
      <w:r w:rsidRPr="005B39E7">
        <w:rPr>
          <w:b/>
          <w:bCs/>
          <w:spacing w:val="-14"/>
          <w:sz w:val="24"/>
          <w:szCs w:val="24"/>
        </w:rPr>
        <w:t xml:space="preserve"> </w:t>
      </w:r>
      <w:r w:rsidRPr="005B39E7">
        <w:rPr>
          <w:b/>
          <w:bCs/>
          <w:sz w:val="24"/>
          <w:szCs w:val="24"/>
        </w:rPr>
        <w:t>kamuoyu</w:t>
      </w:r>
      <w:r w:rsidRPr="005B39E7">
        <w:rPr>
          <w:b/>
          <w:bCs/>
          <w:spacing w:val="-15"/>
          <w:sz w:val="24"/>
          <w:szCs w:val="24"/>
        </w:rPr>
        <w:t xml:space="preserve"> </w:t>
      </w:r>
      <w:r w:rsidRPr="005B39E7">
        <w:rPr>
          <w:b/>
          <w:bCs/>
          <w:sz w:val="24"/>
          <w:szCs w:val="24"/>
        </w:rPr>
        <w:t>önünde</w:t>
      </w:r>
      <w:r w:rsidRPr="005B39E7">
        <w:rPr>
          <w:b/>
          <w:bCs/>
          <w:spacing w:val="-15"/>
          <w:sz w:val="24"/>
          <w:szCs w:val="24"/>
        </w:rPr>
        <w:t xml:space="preserve"> </w:t>
      </w:r>
      <w:r>
        <w:rPr>
          <w:b/>
          <w:bCs/>
          <w:sz w:val="24"/>
          <w:szCs w:val="24"/>
        </w:rPr>
        <w:t>yeni</w:t>
      </w:r>
      <w:r w:rsidRPr="005B39E7">
        <w:rPr>
          <w:b/>
          <w:bCs/>
          <w:spacing w:val="-17"/>
          <w:sz w:val="24"/>
          <w:szCs w:val="24"/>
        </w:rPr>
        <w:t xml:space="preserve"> </w:t>
      </w:r>
      <w:r w:rsidRPr="005B39E7">
        <w:rPr>
          <w:b/>
          <w:bCs/>
          <w:sz w:val="24"/>
          <w:szCs w:val="24"/>
        </w:rPr>
        <w:t>sistemin</w:t>
      </w:r>
      <w:r w:rsidRPr="005B39E7">
        <w:rPr>
          <w:b/>
          <w:bCs/>
          <w:spacing w:val="-13"/>
          <w:sz w:val="24"/>
          <w:szCs w:val="24"/>
        </w:rPr>
        <w:t xml:space="preserve"> </w:t>
      </w:r>
      <w:r w:rsidRPr="005B39E7">
        <w:rPr>
          <w:b/>
          <w:bCs/>
          <w:sz w:val="24"/>
          <w:szCs w:val="24"/>
        </w:rPr>
        <w:t>doluluk</w:t>
      </w:r>
      <w:r w:rsidRPr="005B39E7">
        <w:rPr>
          <w:b/>
          <w:bCs/>
          <w:spacing w:val="-15"/>
          <w:sz w:val="24"/>
          <w:szCs w:val="24"/>
        </w:rPr>
        <w:t xml:space="preserve"> </w:t>
      </w:r>
      <w:r w:rsidRPr="005B39E7">
        <w:rPr>
          <w:b/>
          <w:bCs/>
          <w:sz w:val="24"/>
          <w:szCs w:val="24"/>
        </w:rPr>
        <w:t>oranlarına</w:t>
      </w:r>
      <w:r w:rsidRPr="005B39E7">
        <w:rPr>
          <w:b/>
          <w:bCs/>
          <w:spacing w:val="-18"/>
          <w:sz w:val="24"/>
          <w:szCs w:val="24"/>
        </w:rPr>
        <w:t xml:space="preserve"> </w:t>
      </w:r>
      <w:r w:rsidRPr="005B39E7">
        <w:rPr>
          <w:b/>
          <w:bCs/>
          <w:sz w:val="24"/>
          <w:szCs w:val="24"/>
        </w:rPr>
        <w:t xml:space="preserve">olumlu katkı sağlayacağı yönündeki bilimsel </w:t>
      </w:r>
      <w:r>
        <w:rPr>
          <w:b/>
          <w:bCs/>
          <w:sz w:val="24"/>
          <w:szCs w:val="24"/>
        </w:rPr>
        <w:t>zemine dayalı açıklamalarını ve öngörülerini güçlü bir şekilde doğrulamıştır.</w:t>
      </w:r>
    </w:p>
    <w:p w14:paraId="01B419A0" w14:textId="77777777" w:rsidR="00D9330B" w:rsidRPr="008A6014" w:rsidRDefault="00D9330B" w:rsidP="00D9330B">
      <w:pPr>
        <w:pStyle w:val="GvdeMetni"/>
        <w:spacing w:line="276" w:lineRule="exact"/>
        <w:ind w:left="178"/>
      </w:pPr>
      <w:r>
        <w:t xml:space="preserve"> </w:t>
      </w:r>
    </w:p>
    <w:p w14:paraId="7547ADB1" w14:textId="77777777" w:rsidR="00D9330B" w:rsidRDefault="00D9330B" w:rsidP="00D9330B">
      <w:pPr>
        <w:pStyle w:val="Balk1"/>
        <w:numPr>
          <w:ilvl w:val="0"/>
          <w:numId w:val="2"/>
        </w:numPr>
        <w:tabs>
          <w:tab w:val="left" w:pos="463"/>
        </w:tabs>
        <w:jc w:val="left"/>
      </w:pPr>
      <w:r>
        <w:t>Boş Kalan Kontenjan Sayıları</w:t>
      </w:r>
    </w:p>
    <w:p w14:paraId="59DF63B3" w14:textId="77777777" w:rsidR="00D9330B" w:rsidRDefault="00D9330B" w:rsidP="00D9330B">
      <w:pPr>
        <w:pStyle w:val="GvdeMetni"/>
        <w:spacing w:before="10" w:after="1"/>
        <w:rPr>
          <w:b/>
        </w:rPr>
      </w:pPr>
    </w:p>
    <w:tbl>
      <w:tblPr>
        <w:tblStyle w:val="TableNormal1"/>
        <w:tblW w:w="9544" w:type="dxa"/>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19"/>
        <w:gridCol w:w="2121"/>
        <w:gridCol w:w="2126"/>
        <w:gridCol w:w="2178"/>
      </w:tblGrid>
      <w:tr w:rsidR="00D9330B" w14:paraId="0F39047A" w14:textId="77777777" w:rsidTr="00286018">
        <w:trPr>
          <w:trHeight w:val="277"/>
        </w:trPr>
        <w:tc>
          <w:tcPr>
            <w:tcW w:w="3119" w:type="dxa"/>
            <w:vMerge w:val="restart"/>
            <w:tcBorders>
              <w:left w:val="single" w:sz="12" w:space="0" w:color="000000"/>
            </w:tcBorders>
            <w:shd w:val="clear" w:color="auto" w:fill="DEEAF6"/>
          </w:tcPr>
          <w:p w14:paraId="6A00B94B" w14:textId="77777777" w:rsidR="00D9330B" w:rsidRDefault="00D9330B" w:rsidP="00286018">
            <w:pPr>
              <w:pStyle w:val="TableParagraph"/>
              <w:jc w:val="left"/>
              <w:rPr>
                <w:sz w:val="24"/>
              </w:rPr>
            </w:pPr>
          </w:p>
        </w:tc>
        <w:tc>
          <w:tcPr>
            <w:tcW w:w="2121" w:type="dxa"/>
            <w:tcBorders>
              <w:right w:val="nil"/>
            </w:tcBorders>
            <w:shd w:val="clear" w:color="auto" w:fill="FFF1CC"/>
          </w:tcPr>
          <w:p w14:paraId="38D16855" w14:textId="77777777" w:rsidR="00D9330B" w:rsidRDefault="00D9330B" w:rsidP="00286018">
            <w:pPr>
              <w:pStyle w:val="TableParagraph"/>
              <w:jc w:val="left"/>
              <w:rPr>
                <w:sz w:val="20"/>
              </w:rPr>
            </w:pPr>
          </w:p>
        </w:tc>
        <w:tc>
          <w:tcPr>
            <w:tcW w:w="2126" w:type="dxa"/>
            <w:tcBorders>
              <w:left w:val="nil"/>
              <w:right w:val="nil"/>
            </w:tcBorders>
            <w:shd w:val="clear" w:color="auto" w:fill="FFF1CC"/>
          </w:tcPr>
          <w:p w14:paraId="549C68E8" w14:textId="77777777" w:rsidR="00D9330B" w:rsidRDefault="00D9330B" w:rsidP="00286018">
            <w:pPr>
              <w:pStyle w:val="TableParagraph"/>
              <w:spacing w:before="1" w:line="256" w:lineRule="exact"/>
              <w:ind w:left="144"/>
              <w:rPr>
                <w:b/>
                <w:sz w:val="24"/>
              </w:rPr>
            </w:pPr>
            <w:r>
              <w:rPr>
                <w:b/>
                <w:sz w:val="24"/>
              </w:rPr>
              <w:t>Boş Kalan Kontenjanlar</w:t>
            </w:r>
          </w:p>
        </w:tc>
        <w:tc>
          <w:tcPr>
            <w:tcW w:w="2178" w:type="dxa"/>
            <w:tcBorders>
              <w:left w:val="nil"/>
              <w:right w:val="single" w:sz="12" w:space="0" w:color="000000"/>
            </w:tcBorders>
            <w:shd w:val="clear" w:color="auto" w:fill="FFF1CC"/>
          </w:tcPr>
          <w:p w14:paraId="0F7178EE" w14:textId="77777777" w:rsidR="00D9330B" w:rsidRDefault="00D9330B" w:rsidP="00286018">
            <w:pPr>
              <w:pStyle w:val="TableParagraph"/>
              <w:jc w:val="left"/>
              <w:rPr>
                <w:sz w:val="20"/>
              </w:rPr>
            </w:pPr>
          </w:p>
        </w:tc>
      </w:tr>
      <w:tr w:rsidR="00D9330B" w14:paraId="3B9FAAA6" w14:textId="77777777" w:rsidTr="00286018">
        <w:trPr>
          <w:trHeight w:val="550"/>
        </w:trPr>
        <w:tc>
          <w:tcPr>
            <w:tcW w:w="3119" w:type="dxa"/>
            <w:vMerge/>
            <w:tcBorders>
              <w:top w:val="nil"/>
              <w:left w:val="single" w:sz="12" w:space="0" w:color="000000"/>
            </w:tcBorders>
            <w:shd w:val="clear" w:color="auto" w:fill="DEEAF6"/>
          </w:tcPr>
          <w:p w14:paraId="196D70C6" w14:textId="77777777" w:rsidR="00D9330B" w:rsidRDefault="00D9330B" w:rsidP="00286018">
            <w:pPr>
              <w:rPr>
                <w:sz w:val="2"/>
                <w:szCs w:val="2"/>
              </w:rPr>
            </w:pPr>
          </w:p>
        </w:tc>
        <w:tc>
          <w:tcPr>
            <w:tcW w:w="2121" w:type="dxa"/>
            <w:shd w:val="clear" w:color="auto" w:fill="DEEAF6"/>
          </w:tcPr>
          <w:p w14:paraId="168C151A" w14:textId="77777777" w:rsidR="00D9330B" w:rsidRDefault="00D9330B" w:rsidP="00286018">
            <w:pPr>
              <w:pStyle w:val="TableParagraph"/>
              <w:spacing w:before="137"/>
              <w:ind w:left="126" w:right="827"/>
              <w:rPr>
                <w:b/>
                <w:sz w:val="24"/>
              </w:rPr>
            </w:pPr>
            <w:r>
              <w:rPr>
                <w:b/>
                <w:sz w:val="24"/>
              </w:rPr>
              <w:t xml:space="preserve">    </w:t>
            </w:r>
            <w:proofErr w:type="spellStart"/>
            <w:r>
              <w:rPr>
                <w:b/>
                <w:sz w:val="24"/>
              </w:rPr>
              <w:t>Önlisans</w:t>
            </w:r>
            <w:proofErr w:type="spellEnd"/>
          </w:p>
        </w:tc>
        <w:tc>
          <w:tcPr>
            <w:tcW w:w="2126" w:type="dxa"/>
            <w:shd w:val="clear" w:color="auto" w:fill="DEEAF6"/>
          </w:tcPr>
          <w:p w14:paraId="171250A1" w14:textId="77777777" w:rsidR="00D9330B" w:rsidRDefault="00D9330B" w:rsidP="00286018">
            <w:pPr>
              <w:pStyle w:val="TableParagraph"/>
              <w:spacing w:before="137"/>
              <w:ind w:left="273" w:right="943" w:hanging="686"/>
              <w:rPr>
                <w:b/>
                <w:sz w:val="24"/>
              </w:rPr>
            </w:pPr>
            <w:r>
              <w:rPr>
                <w:b/>
                <w:sz w:val="24"/>
              </w:rPr>
              <w:t xml:space="preserve">               Lisans</w:t>
            </w:r>
          </w:p>
        </w:tc>
        <w:tc>
          <w:tcPr>
            <w:tcW w:w="2178" w:type="dxa"/>
            <w:tcBorders>
              <w:right w:val="single" w:sz="12" w:space="0" w:color="000000"/>
            </w:tcBorders>
            <w:shd w:val="clear" w:color="auto" w:fill="DEEAF6"/>
          </w:tcPr>
          <w:p w14:paraId="34ABDD39" w14:textId="77777777" w:rsidR="00D9330B" w:rsidRDefault="00D9330B" w:rsidP="00286018">
            <w:pPr>
              <w:pStyle w:val="TableParagraph"/>
              <w:spacing w:before="2" w:line="276" w:lineRule="exact"/>
              <w:ind w:left="410" w:right="323" w:hanging="413"/>
              <w:rPr>
                <w:b/>
                <w:sz w:val="24"/>
              </w:rPr>
            </w:pPr>
            <w:r>
              <w:rPr>
                <w:b/>
                <w:sz w:val="24"/>
              </w:rPr>
              <w:t>Toplam Boş</w:t>
            </w:r>
          </w:p>
          <w:p w14:paraId="4052980B" w14:textId="77777777" w:rsidR="00D9330B" w:rsidRDefault="00D9330B" w:rsidP="00286018">
            <w:pPr>
              <w:pStyle w:val="TableParagraph"/>
              <w:spacing w:before="2" w:line="276" w:lineRule="exact"/>
              <w:ind w:left="410" w:right="323" w:hanging="413"/>
              <w:rPr>
                <w:b/>
                <w:sz w:val="24"/>
              </w:rPr>
            </w:pPr>
            <w:r>
              <w:rPr>
                <w:b/>
                <w:sz w:val="24"/>
              </w:rPr>
              <w:t>Kalan Kontenjan</w:t>
            </w:r>
          </w:p>
        </w:tc>
      </w:tr>
      <w:tr w:rsidR="00D9330B" w14:paraId="4CA6B87A" w14:textId="77777777" w:rsidTr="00286018">
        <w:trPr>
          <w:trHeight w:val="274"/>
        </w:trPr>
        <w:tc>
          <w:tcPr>
            <w:tcW w:w="3119" w:type="dxa"/>
            <w:tcBorders>
              <w:left w:val="single" w:sz="12" w:space="0" w:color="000000"/>
            </w:tcBorders>
          </w:tcPr>
          <w:p w14:paraId="7762752C" w14:textId="77777777" w:rsidR="00D9330B" w:rsidRDefault="00D9330B" w:rsidP="00286018">
            <w:pPr>
              <w:pStyle w:val="TableParagraph"/>
              <w:spacing w:line="254" w:lineRule="exact"/>
              <w:ind w:left="76" w:right="344"/>
              <w:jc w:val="left"/>
              <w:rPr>
                <w:b/>
                <w:sz w:val="24"/>
              </w:rPr>
            </w:pPr>
            <w:r>
              <w:rPr>
                <w:b/>
                <w:sz w:val="24"/>
              </w:rPr>
              <w:t>2017</w:t>
            </w:r>
            <w:r>
              <w:rPr>
                <w:b/>
                <w:sz w:val="20"/>
                <w:szCs w:val="20"/>
              </w:rPr>
              <w:t>(YGS-LYS Eski S</w:t>
            </w:r>
            <w:r w:rsidRPr="001523EA">
              <w:rPr>
                <w:b/>
                <w:sz w:val="20"/>
                <w:szCs w:val="20"/>
              </w:rPr>
              <w:t>istem</w:t>
            </w:r>
            <w:r>
              <w:rPr>
                <w:b/>
                <w:sz w:val="20"/>
                <w:szCs w:val="20"/>
              </w:rPr>
              <w:t>)</w:t>
            </w:r>
          </w:p>
        </w:tc>
        <w:tc>
          <w:tcPr>
            <w:tcW w:w="2121" w:type="dxa"/>
            <w:vAlign w:val="bottom"/>
          </w:tcPr>
          <w:p w14:paraId="17361525" w14:textId="77777777" w:rsidR="00D9330B" w:rsidRDefault="00D9330B" w:rsidP="00286018">
            <w:pPr>
              <w:pStyle w:val="TableParagraph"/>
              <w:spacing w:line="254" w:lineRule="exact"/>
              <w:ind w:left="519" w:right="774" w:hanging="267"/>
              <w:rPr>
                <w:sz w:val="24"/>
              </w:rPr>
            </w:pPr>
            <w:r>
              <w:rPr>
                <w:color w:val="000000" w:themeColor="text1"/>
                <w:sz w:val="24"/>
                <w:szCs w:val="24"/>
              </w:rPr>
              <w:t xml:space="preserve">    </w:t>
            </w:r>
            <w:r w:rsidRPr="008B2C0D">
              <w:rPr>
                <w:color w:val="000000" w:themeColor="text1"/>
                <w:sz w:val="24"/>
                <w:szCs w:val="24"/>
              </w:rPr>
              <w:t>163.562</w:t>
            </w:r>
          </w:p>
        </w:tc>
        <w:tc>
          <w:tcPr>
            <w:tcW w:w="2126" w:type="dxa"/>
            <w:vAlign w:val="bottom"/>
          </w:tcPr>
          <w:p w14:paraId="10D5DF2C" w14:textId="77777777" w:rsidR="00D9330B" w:rsidRDefault="00D9330B" w:rsidP="00286018">
            <w:pPr>
              <w:pStyle w:val="TableParagraph"/>
              <w:spacing w:line="254" w:lineRule="exact"/>
              <w:ind w:left="123" w:right="502"/>
              <w:rPr>
                <w:sz w:val="24"/>
              </w:rPr>
            </w:pPr>
            <w:r w:rsidRPr="008B2C0D">
              <w:rPr>
                <w:color w:val="000000" w:themeColor="text1"/>
                <w:sz w:val="24"/>
                <w:szCs w:val="24"/>
              </w:rPr>
              <w:t>50.821</w:t>
            </w:r>
          </w:p>
        </w:tc>
        <w:tc>
          <w:tcPr>
            <w:tcW w:w="2178" w:type="dxa"/>
            <w:tcBorders>
              <w:right w:val="single" w:sz="12" w:space="0" w:color="000000"/>
            </w:tcBorders>
            <w:vAlign w:val="bottom"/>
          </w:tcPr>
          <w:p w14:paraId="77DF4D55" w14:textId="77777777" w:rsidR="00D9330B" w:rsidRDefault="00D9330B" w:rsidP="00286018">
            <w:pPr>
              <w:pStyle w:val="TableParagraph"/>
              <w:spacing w:line="254" w:lineRule="exact"/>
              <w:ind w:left="410" w:right="892"/>
              <w:rPr>
                <w:sz w:val="24"/>
              </w:rPr>
            </w:pPr>
            <w:r w:rsidRPr="008B2C0D">
              <w:rPr>
                <w:color w:val="000000" w:themeColor="text1"/>
                <w:sz w:val="24"/>
                <w:szCs w:val="24"/>
              </w:rPr>
              <w:t>214.383</w:t>
            </w:r>
          </w:p>
        </w:tc>
      </w:tr>
      <w:tr w:rsidR="00D9330B" w14:paraId="6C1926D2" w14:textId="77777777" w:rsidTr="00286018">
        <w:trPr>
          <w:trHeight w:val="274"/>
        </w:trPr>
        <w:tc>
          <w:tcPr>
            <w:tcW w:w="3119" w:type="dxa"/>
            <w:tcBorders>
              <w:left w:val="single" w:sz="12" w:space="0" w:color="000000"/>
            </w:tcBorders>
          </w:tcPr>
          <w:p w14:paraId="3300113D" w14:textId="77777777" w:rsidR="00D9330B" w:rsidRDefault="00D9330B" w:rsidP="00286018">
            <w:pPr>
              <w:pStyle w:val="TableParagraph"/>
              <w:spacing w:line="254" w:lineRule="exact"/>
              <w:ind w:left="76" w:right="344"/>
              <w:jc w:val="left"/>
              <w:rPr>
                <w:b/>
                <w:sz w:val="24"/>
              </w:rPr>
            </w:pPr>
            <w:r>
              <w:rPr>
                <w:b/>
                <w:sz w:val="24"/>
              </w:rPr>
              <w:t>2018-YKS</w:t>
            </w:r>
          </w:p>
        </w:tc>
        <w:tc>
          <w:tcPr>
            <w:tcW w:w="2121" w:type="dxa"/>
          </w:tcPr>
          <w:p w14:paraId="24A220BC" w14:textId="77777777" w:rsidR="00D9330B" w:rsidRDefault="00D9330B" w:rsidP="00286018">
            <w:pPr>
              <w:pStyle w:val="TableParagraph"/>
              <w:spacing w:line="254" w:lineRule="exact"/>
              <w:ind w:left="519" w:right="774" w:hanging="267"/>
              <w:rPr>
                <w:sz w:val="24"/>
              </w:rPr>
            </w:pPr>
            <w:r>
              <w:rPr>
                <w:sz w:val="24"/>
              </w:rPr>
              <w:t xml:space="preserve">     38.822</w:t>
            </w:r>
          </w:p>
        </w:tc>
        <w:tc>
          <w:tcPr>
            <w:tcW w:w="2126" w:type="dxa"/>
          </w:tcPr>
          <w:p w14:paraId="7ACEA263" w14:textId="77777777" w:rsidR="00D9330B" w:rsidRDefault="00D9330B" w:rsidP="00286018">
            <w:pPr>
              <w:pStyle w:val="TableParagraph"/>
              <w:spacing w:line="254" w:lineRule="exact"/>
              <w:ind w:left="123" w:right="502"/>
              <w:rPr>
                <w:sz w:val="24"/>
              </w:rPr>
            </w:pPr>
            <w:r>
              <w:rPr>
                <w:sz w:val="24"/>
              </w:rPr>
              <w:t>89.686</w:t>
            </w:r>
          </w:p>
        </w:tc>
        <w:tc>
          <w:tcPr>
            <w:tcW w:w="2178" w:type="dxa"/>
            <w:tcBorders>
              <w:right w:val="single" w:sz="12" w:space="0" w:color="000000"/>
            </w:tcBorders>
          </w:tcPr>
          <w:p w14:paraId="6438A4DA" w14:textId="77777777" w:rsidR="00D9330B" w:rsidRDefault="00D9330B" w:rsidP="00286018">
            <w:pPr>
              <w:pStyle w:val="TableParagraph"/>
              <w:spacing w:line="254" w:lineRule="exact"/>
              <w:ind w:left="410" w:right="892"/>
              <w:rPr>
                <w:sz w:val="24"/>
              </w:rPr>
            </w:pPr>
            <w:r>
              <w:rPr>
                <w:sz w:val="24"/>
              </w:rPr>
              <w:t>128.508</w:t>
            </w:r>
          </w:p>
        </w:tc>
      </w:tr>
      <w:tr w:rsidR="00D9330B" w14:paraId="3C31759A" w14:textId="77777777" w:rsidTr="00286018">
        <w:trPr>
          <w:trHeight w:val="277"/>
        </w:trPr>
        <w:tc>
          <w:tcPr>
            <w:tcW w:w="3119" w:type="dxa"/>
            <w:tcBorders>
              <w:left w:val="single" w:sz="12" w:space="0" w:color="000000"/>
            </w:tcBorders>
          </w:tcPr>
          <w:p w14:paraId="1BF32826" w14:textId="77777777" w:rsidR="00D9330B" w:rsidRDefault="00D9330B" w:rsidP="00286018">
            <w:pPr>
              <w:pStyle w:val="TableParagraph"/>
              <w:spacing w:line="257" w:lineRule="exact"/>
              <w:ind w:left="76" w:right="344"/>
              <w:jc w:val="left"/>
              <w:rPr>
                <w:b/>
                <w:sz w:val="24"/>
              </w:rPr>
            </w:pPr>
            <w:r>
              <w:rPr>
                <w:b/>
                <w:sz w:val="24"/>
              </w:rPr>
              <w:t>2019-YKS</w:t>
            </w:r>
          </w:p>
        </w:tc>
        <w:tc>
          <w:tcPr>
            <w:tcW w:w="2121" w:type="dxa"/>
          </w:tcPr>
          <w:p w14:paraId="5A57F5F9" w14:textId="77777777" w:rsidR="00D9330B" w:rsidRDefault="00D9330B" w:rsidP="00286018">
            <w:pPr>
              <w:pStyle w:val="TableParagraph"/>
              <w:spacing w:line="257" w:lineRule="exact"/>
              <w:ind w:left="519" w:right="774" w:hanging="267"/>
              <w:rPr>
                <w:sz w:val="24"/>
              </w:rPr>
            </w:pPr>
            <w:r>
              <w:rPr>
                <w:sz w:val="24"/>
              </w:rPr>
              <w:t xml:space="preserve">     33.066</w:t>
            </w:r>
          </w:p>
        </w:tc>
        <w:tc>
          <w:tcPr>
            <w:tcW w:w="2126" w:type="dxa"/>
          </w:tcPr>
          <w:p w14:paraId="7B8425D3" w14:textId="77777777" w:rsidR="00D9330B" w:rsidRDefault="00D9330B" w:rsidP="00286018">
            <w:pPr>
              <w:pStyle w:val="TableParagraph"/>
              <w:spacing w:line="257" w:lineRule="exact"/>
              <w:ind w:left="123" w:right="502"/>
              <w:rPr>
                <w:sz w:val="24"/>
              </w:rPr>
            </w:pPr>
            <w:r>
              <w:rPr>
                <w:sz w:val="24"/>
              </w:rPr>
              <w:t>38.167</w:t>
            </w:r>
          </w:p>
        </w:tc>
        <w:tc>
          <w:tcPr>
            <w:tcW w:w="2178" w:type="dxa"/>
            <w:tcBorders>
              <w:right w:val="single" w:sz="12" w:space="0" w:color="000000"/>
            </w:tcBorders>
          </w:tcPr>
          <w:p w14:paraId="17ABFDBA" w14:textId="77777777" w:rsidR="00D9330B" w:rsidRDefault="00D9330B" w:rsidP="00286018">
            <w:pPr>
              <w:pStyle w:val="TableParagraph"/>
              <w:spacing w:line="257" w:lineRule="exact"/>
              <w:ind w:left="410" w:right="892"/>
              <w:rPr>
                <w:sz w:val="24"/>
              </w:rPr>
            </w:pPr>
            <w:r>
              <w:rPr>
                <w:sz w:val="24"/>
              </w:rPr>
              <w:t xml:space="preserve">  71.233</w:t>
            </w:r>
          </w:p>
        </w:tc>
      </w:tr>
      <w:tr w:rsidR="00D9330B" w14:paraId="78122228" w14:textId="77777777" w:rsidTr="00286018">
        <w:trPr>
          <w:trHeight w:val="205"/>
        </w:trPr>
        <w:tc>
          <w:tcPr>
            <w:tcW w:w="3119" w:type="dxa"/>
            <w:tcBorders>
              <w:left w:val="single" w:sz="12" w:space="0" w:color="000000"/>
            </w:tcBorders>
          </w:tcPr>
          <w:p w14:paraId="50797527" w14:textId="77777777" w:rsidR="00D9330B" w:rsidRDefault="00D9330B" w:rsidP="00286018">
            <w:pPr>
              <w:pStyle w:val="TableParagraph"/>
              <w:spacing w:line="257" w:lineRule="exact"/>
              <w:ind w:left="76" w:right="344"/>
              <w:jc w:val="left"/>
              <w:rPr>
                <w:b/>
                <w:sz w:val="24"/>
              </w:rPr>
            </w:pPr>
            <w:r>
              <w:rPr>
                <w:b/>
                <w:sz w:val="24"/>
              </w:rPr>
              <w:t>2020-YKS</w:t>
            </w:r>
          </w:p>
        </w:tc>
        <w:tc>
          <w:tcPr>
            <w:tcW w:w="2121" w:type="dxa"/>
            <w:vAlign w:val="bottom"/>
          </w:tcPr>
          <w:p w14:paraId="5E903BB2" w14:textId="77777777" w:rsidR="00D9330B" w:rsidRPr="00D27270" w:rsidRDefault="00D9330B" w:rsidP="00286018">
            <w:pPr>
              <w:pStyle w:val="TableParagraph"/>
              <w:spacing w:line="257" w:lineRule="exact"/>
              <w:ind w:left="519" w:right="774" w:hanging="267"/>
              <w:rPr>
                <w:color w:val="000000" w:themeColor="text1"/>
                <w:sz w:val="18"/>
                <w:szCs w:val="18"/>
                <w:highlight w:val="cyan"/>
              </w:rPr>
            </w:pPr>
            <w:r>
              <w:rPr>
                <w:color w:val="000000" w:themeColor="text1"/>
                <w:sz w:val="24"/>
                <w:szCs w:val="24"/>
              </w:rPr>
              <w:t xml:space="preserve">     </w:t>
            </w:r>
            <w:r w:rsidRPr="008B2C0D">
              <w:rPr>
                <w:color w:val="000000" w:themeColor="text1"/>
                <w:sz w:val="24"/>
                <w:szCs w:val="24"/>
              </w:rPr>
              <w:t>30.387</w:t>
            </w:r>
          </w:p>
        </w:tc>
        <w:tc>
          <w:tcPr>
            <w:tcW w:w="2126" w:type="dxa"/>
            <w:vAlign w:val="center"/>
          </w:tcPr>
          <w:p w14:paraId="5E4F1665" w14:textId="77777777" w:rsidR="00D9330B" w:rsidRDefault="00D9330B" w:rsidP="00286018">
            <w:pPr>
              <w:pStyle w:val="TableParagraph"/>
              <w:spacing w:line="257" w:lineRule="exact"/>
              <w:ind w:left="123" w:right="502"/>
              <w:rPr>
                <w:sz w:val="24"/>
              </w:rPr>
            </w:pPr>
            <w:r w:rsidRPr="002901AF">
              <w:rPr>
                <w:color w:val="000000" w:themeColor="text1"/>
                <w:sz w:val="24"/>
                <w:szCs w:val="24"/>
              </w:rPr>
              <w:t>26</w:t>
            </w:r>
            <w:r>
              <w:rPr>
                <w:color w:val="000000" w:themeColor="text1"/>
                <w:sz w:val="24"/>
                <w:szCs w:val="24"/>
              </w:rPr>
              <w:t>.</w:t>
            </w:r>
            <w:r w:rsidRPr="002901AF">
              <w:rPr>
                <w:color w:val="000000" w:themeColor="text1"/>
                <w:sz w:val="24"/>
                <w:szCs w:val="24"/>
              </w:rPr>
              <w:t>669</w:t>
            </w:r>
          </w:p>
        </w:tc>
        <w:tc>
          <w:tcPr>
            <w:tcW w:w="2178" w:type="dxa"/>
            <w:tcBorders>
              <w:right w:val="single" w:sz="12" w:space="0" w:color="000000"/>
            </w:tcBorders>
            <w:vAlign w:val="bottom"/>
          </w:tcPr>
          <w:p w14:paraId="1B1B0EC3" w14:textId="77777777" w:rsidR="00D9330B" w:rsidRDefault="00D9330B" w:rsidP="00286018">
            <w:pPr>
              <w:pStyle w:val="TableParagraph"/>
              <w:spacing w:line="257" w:lineRule="exact"/>
              <w:ind w:left="410" w:right="892"/>
              <w:rPr>
                <w:sz w:val="24"/>
              </w:rPr>
            </w:pPr>
            <w:r>
              <w:rPr>
                <w:color w:val="000000" w:themeColor="text1"/>
                <w:sz w:val="24"/>
                <w:szCs w:val="24"/>
              </w:rPr>
              <w:t xml:space="preserve">  </w:t>
            </w:r>
            <w:r w:rsidRPr="008B2C0D">
              <w:rPr>
                <w:color w:val="000000" w:themeColor="text1"/>
                <w:sz w:val="24"/>
                <w:szCs w:val="24"/>
              </w:rPr>
              <w:t>57.</w:t>
            </w:r>
            <w:r>
              <w:rPr>
                <w:color w:val="000000" w:themeColor="text1"/>
                <w:sz w:val="24"/>
                <w:szCs w:val="24"/>
              </w:rPr>
              <w:t>056</w:t>
            </w:r>
          </w:p>
        </w:tc>
      </w:tr>
    </w:tbl>
    <w:p w14:paraId="6AB55822" w14:textId="77777777" w:rsidR="00D9330B" w:rsidRDefault="00D9330B" w:rsidP="00D9330B">
      <w:pPr>
        <w:pStyle w:val="GvdeMetni"/>
        <w:spacing w:before="2"/>
        <w:rPr>
          <w:b/>
          <w:sz w:val="36"/>
        </w:rPr>
      </w:pPr>
    </w:p>
    <w:p w14:paraId="4A02F714" w14:textId="77777777" w:rsidR="00D9330B" w:rsidRDefault="00D9330B" w:rsidP="00D9330B">
      <w:pPr>
        <w:pStyle w:val="GvdeMetni"/>
        <w:spacing w:line="360" w:lineRule="auto"/>
        <w:ind w:left="178" w:right="326" w:firstLine="707"/>
        <w:jc w:val="both"/>
      </w:pPr>
      <w:r w:rsidRPr="006A6A73">
        <w:rPr>
          <w:b/>
          <w:bCs/>
        </w:rPr>
        <w:t>2018 yılında</w:t>
      </w:r>
      <w:r>
        <w:t xml:space="preserve"> boş kalan </w:t>
      </w:r>
      <w:r w:rsidRPr="006A6A73">
        <w:rPr>
          <w:b/>
          <w:bCs/>
        </w:rPr>
        <w:t>128.508</w:t>
      </w:r>
      <w:r>
        <w:t xml:space="preserve"> toplam kontenjanın </w:t>
      </w:r>
      <w:r w:rsidRPr="00E9364A">
        <w:rPr>
          <w:b/>
        </w:rPr>
        <w:t>38.822’si</w:t>
      </w:r>
      <w:r>
        <w:t xml:space="preserve"> </w:t>
      </w:r>
      <w:proofErr w:type="spellStart"/>
      <w:r>
        <w:t>önlisans</w:t>
      </w:r>
      <w:proofErr w:type="spellEnd"/>
      <w:r>
        <w:t xml:space="preserve"> programlarında idi ve bu rakam </w:t>
      </w:r>
      <w:r w:rsidRPr="009D5549">
        <w:rPr>
          <w:b/>
          <w:bCs/>
        </w:rPr>
        <w:t>2019</w:t>
      </w:r>
      <w:r>
        <w:t xml:space="preserve"> yılında </w:t>
      </w:r>
      <w:r>
        <w:rPr>
          <w:b/>
        </w:rPr>
        <w:t>33.066</w:t>
      </w:r>
      <w:r w:rsidRPr="00E9364A">
        <w:rPr>
          <w:b/>
        </w:rPr>
        <w:t>’ya</w:t>
      </w:r>
      <w:r>
        <w:t xml:space="preserve">, bu yıl </w:t>
      </w:r>
      <w:r w:rsidRPr="00E9364A">
        <w:rPr>
          <w:b/>
        </w:rPr>
        <w:t>30.387’ye</w:t>
      </w:r>
      <w:r>
        <w:t xml:space="preserve"> düşmüştür. </w:t>
      </w:r>
      <w:r w:rsidRPr="003E1AD2">
        <w:rPr>
          <w:b/>
          <w:bCs/>
        </w:rPr>
        <w:t>2018</w:t>
      </w:r>
      <w:r>
        <w:t xml:space="preserve"> yılındaki </w:t>
      </w:r>
      <w:r w:rsidRPr="003E1AD2">
        <w:rPr>
          <w:b/>
          <w:bCs/>
        </w:rPr>
        <w:t xml:space="preserve">89.686 </w:t>
      </w:r>
      <w:r>
        <w:t xml:space="preserve">olan lisans </w:t>
      </w:r>
      <w:r>
        <w:lastRenderedPageBreak/>
        <w:t xml:space="preserve">programlarındaki boş kontenjan </w:t>
      </w:r>
      <w:r w:rsidRPr="003E1AD2">
        <w:rPr>
          <w:b/>
          <w:bCs/>
        </w:rPr>
        <w:t>2019</w:t>
      </w:r>
      <w:r>
        <w:t xml:space="preserve"> yılında </w:t>
      </w:r>
      <w:r w:rsidRPr="00E9364A">
        <w:rPr>
          <w:b/>
        </w:rPr>
        <w:t>38.167’ye</w:t>
      </w:r>
      <w:r>
        <w:t xml:space="preserve">, bu yıl ise </w:t>
      </w:r>
      <w:r w:rsidRPr="00E9364A">
        <w:rPr>
          <w:b/>
        </w:rPr>
        <w:t>26.669’a</w:t>
      </w:r>
      <w:r>
        <w:t xml:space="preserve"> düşmüştür. </w:t>
      </w:r>
    </w:p>
    <w:p w14:paraId="6ECD953A" w14:textId="77777777" w:rsidR="00D9330B" w:rsidRDefault="00D9330B" w:rsidP="00D9330B">
      <w:pPr>
        <w:spacing w:line="360" w:lineRule="auto"/>
        <w:ind w:left="178" w:right="323" w:firstLine="707"/>
        <w:jc w:val="both"/>
        <w:rPr>
          <w:b/>
          <w:sz w:val="24"/>
        </w:rPr>
      </w:pPr>
      <w:proofErr w:type="spellStart"/>
      <w:r>
        <w:rPr>
          <w:sz w:val="24"/>
        </w:rPr>
        <w:t>Önlisans</w:t>
      </w:r>
      <w:proofErr w:type="spellEnd"/>
      <w:r>
        <w:rPr>
          <w:sz w:val="24"/>
        </w:rPr>
        <w:t xml:space="preserve"> programlarında azalma görüldüğü gibi lisans programlarında da </w:t>
      </w:r>
      <w:r>
        <w:rPr>
          <w:b/>
          <w:sz w:val="24"/>
        </w:rPr>
        <w:t xml:space="preserve">boş kalan kontenjanların sayısı geçen seneye göre </w:t>
      </w:r>
      <w:proofErr w:type="gramStart"/>
      <w:r>
        <w:rPr>
          <w:b/>
          <w:sz w:val="24"/>
        </w:rPr>
        <w:t xml:space="preserve">11.498 </w:t>
      </w:r>
      <w:r>
        <w:rPr>
          <w:b/>
          <w:spacing w:val="-39"/>
          <w:sz w:val="24"/>
        </w:rPr>
        <w:t xml:space="preserve"> </w:t>
      </w:r>
      <w:r>
        <w:rPr>
          <w:b/>
          <w:sz w:val="24"/>
        </w:rPr>
        <w:t>azalmıştır</w:t>
      </w:r>
      <w:proofErr w:type="gramEnd"/>
      <w:r>
        <w:rPr>
          <w:b/>
          <w:sz w:val="24"/>
        </w:rPr>
        <w:t>.</w:t>
      </w:r>
    </w:p>
    <w:p w14:paraId="5FE2BF8A" w14:textId="77777777" w:rsidR="00D9330B" w:rsidRPr="007176E9" w:rsidRDefault="00D9330B" w:rsidP="00D9330B">
      <w:pPr>
        <w:pStyle w:val="Balk1"/>
        <w:spacing w:before="5" w:line="360" w:lineRule="auto"/>
        <w:ind w:left="142" w:right="372" w:firstLine="851"/>
        <w:jc w:val="both"/>
        <w:rPr>
          <w:b w:val="0"/>
          <w:bCs w:val="0"/>
          <w:color w:val="C00000"/>
        </w:rPr>
      </w:pPr>
      <w:r>
        <w:t xml:space="preserve">2018 </w:t>
      </w:r>
      <w:r w:rsidRPr="003E1AD2">
        <w:rPr>
          <w:b w:val="0"/>
          <w:bCs w:val="0"/>
        </w:rPr>
        <w:t>yılında toplam kontenjanın</w:t>
      </w:r>
      <w:r>
        <w:t xml:space="preserve"> </w:t>
      </w:r>
      <w:r w:rsidRPr="0080619E">
        <w:t xml:space="preserve">%15,3’ü, 2019 </w:t>
      </w:r>
      <w:r w:rsidRPr="003E1AD2">
        <w:rPr>
          <w:b w:val="0"/>
          <w:bCs w:val="0"/>
        </w:rPr>
        <w:t>yılında</w:t>
      </w:r>
      <w:r w:rsidRPr="0080619E">
        <w:t xml:space="preserve"> %8,6’</w:t>
      </w:r>
      <w:r>
        <w:t>sı</w:t>
      </w:r>
      <w:r w:rsidRPr="0080619E">
        <w:t xml:space="preserve"> boş kalmış iken bu oran bu yıl </w:t>
      </w:r>
      <w:r>
        <w:t>%6,8’</w:t>
      </w:r>
      <w:r w:rsidRPr="0080619E">
        <w:t>e düşmüştür.</w:t>
      </w:r>
      <w:r>
        <w:t xml:space="preserve">  </w:t>
      </w:r>
    </w:p>
    <w:p w14:paraId="18DAF983" w14:textId="77777777" w:rsidR="00D9330B" w:rsidRDefault="00D9330B" w:rsidP="00D9330B">
      <w:pPr>
        <w:pStyle w:val="Balk1"/>
        <w:spacing w:before="76" w:line="360" w:lineRule="auto"/>
        <w:ind w:left="102" w:right="308" w:firstLine="618"/>
        <w:jc w:val="both"/>
      </w:pPr>
      <w:r>
        <w:t>Bu veri boş kontenjan konusunda çok ciddi bir iyileşmenin olduğunu, artık bu konunun sistemi zorlayan bir problem olmaktan çıktığını açıkça göstermektedir.</w:t>
      </w:r>
    </w:p>
    <w:p w14:paraId="23A2CB0B" w14:textId="77777777" w:rsidR="00D9330B" w:rsidRPr="00106886" w:rsidRDefault="00D9330B" w:rsidP="00D9330B">
      <w:pPr>
        <w:widowControl/>
        <w:autoSpaceDE/>
        <w:autoSpaceDN/>
        <w:spacing w:after="160" w:line="259" w:lineRule="auto"/>
        <w:contextualSpacing/>
      </w:pPr>
    </w:p>
    <w:p w14:paraId="37541E2B" w14:textId="77777777" w:rsidR="00D9330B" w:rsidRPr="003E4FCE" w:rsidRDefault="00D9330B" w:rsidP="00D9330B">
      <w:pPr>
        <w:pStyle w:val="ListeParagraf"/>
        <w:widowControl/>
        <w:numPr>
          <w:ilvl w:val="0"/>
          <w:numId w:val="2"/>
        </w:numPr>
        <w:autoSpaceDE/>
        <w:autoSpaceDN/>
        <w:spacing w:after="160" w:line="259" w:lineRule="auto"/>
        <w:contextualSpacing/>
        <w:jc w:val="left"/>
      </w:pPr>
      <w:r w:rsidRPr="00F03AE5">
        <w:rPr>
          <w:b/>
          <w:bCs/>
          <w:sz w:val="24"/>
          <w:szCs w:val="24"/>
        </w:rPr>
        <w:t xml:space="preserve">Üniversite Türüne Göre </w:t>
      </w:r>
      <w:r>
        <w:rPr>
          <w:b/>
          <w:bCs/>
          <w:sz w:val="24"/>
          <w:szCs w:val="24"/>
        </w:rPr>
        <w:t xml:space="preserve">Toplam </w:t>
      </w:r>
      <w:r w:rsidRPr="00F03AE5">
        <w:rPr>
          <w:b/>
          <w:bCs/>
          <w:sz w:val="24"/>
          <w:szCs w:val="24"/>
        </w:rPr>
        <w:t>Kontenjan-Yerleşen-Boş Kontenjan</w:t>
      </w:r>
    </w:p>
    <w:tbl>
      <w:tblPr>
        <w:tblStyle w:val="TableNormal1"/>
        <w:tblW w:w="0" w:type="auto"/>
        <w:tblInd w:w="2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62"/>
        <w:gridCol w:w="1170"/>
        <w:gridCol w:w="992"/>
        <w:gridCol w:w="986"/>
        <w:gridCol w:w="937"/>
        <w:gridCol w:w="1167"/>
        <w:gridCol w:w="995"/>
        <w:gridCol w:w="867"/>
        <w:gridCol w:w="937"/>
      </w:tblGrid>
      <w:tr w:rsidR="00D9330B" w14:paraId="3D34E887" w14:textId="77777777" w:rsidTr="00286018">
        <w:trPr>
          <w:trHeight w:val="411"/>
        </w:trPr>
        <w:tc>
          <w:tcPr>
            <w:tcW w:w="1462" w:type="dxa"/>
            <w:vMerge w:val="restart"/>
            <w:shd w:val="clear" w:color="auto" w:fill="DEEAF6"/>
          </w:tcPr>
          <w:p w14:paraId="311621CD" w14:textId="77777777" w:rsidR="00D9330B" w:rsidRDefault="00D9330B" w:rsidP="00286018">
            <w:pPr>
              <w:pStyle w:val="TableParagraph"/>
              <w:jc w:val="left"/>
            </w:pPr>
          </w:p>
        </w:tc>
        <w:tc>
          <w:tcPr>
            <w:tcW w:w="4085" w:type="dxa"/>
            <w:gridSpan w:val="4"/>
            <w:shd w:val="clear" w:color="auto" w:fill="D9D9D9" w:themeFill="background1" w:themeFillShade="D9"/>
            <w:vAlign w:val="center"/>
          </w:tcPr>
          <w:p w14:paraId="391B8892" w14:textId="77777777" w:rsidR="00D9330B" w:rsidRDefault="00D9330B" w:rsidP="00286018">
            <w:pPr>
              <w:pStyle w:val="TableParagraph"/>
              <w:spacing w:before="2"/>
              <w:ind w:left="1701" w:right="1696"/>
              <w:rPr>
                <w:b/>
                <w:sz w:val="20"/>
              </w:rPr>
            </w:pPr>
            <w:r>
              <w:rPr>
                <w:b/>
                <w:sz w:val="20"/>
              </w:rPr>
              <w:t>2020</w:t>
            </w:r>
          </w:p>
        </w:tc>
        <w:tc>
          <w:tcPr>
            <w:tcW w:w="3966" w:type="dxa"/>
            <w:gridSpan w:val="4"/>
            <w:shd w:val="clear" w:color="auto" w:fill="D9D9D9" w:themeFill="background1" w:themeFillShade="D9"/>
            <w:vAlign w:val="center"/>
          </w:tcPr>
          <w:p w14:paraId="70530D5F" w14:textId="77777777" w:rsidR="00D9330B" w:rsidRDefault="00D9330B" w:rsidP="00286018">
            <w:pPr>
              <w:pStyle w:val="TableParagraph"/>
              <w:spacing w:before="2"/>
              <w:ind w:left="1748" w:right="1748"/>
              <w:rPr>
                <w:b/>
                <w:sz w:val="20"/>
              </w:rPr>
            </w:pPr>
            <w:r>
              <w:rPr>
                <w:b/>
                <w:sz w:val="20"/>
              </w:rPr>
              <w:t>2019</w:t>
            </w:r>
          </w:p>
        </w:tc>
      </w:tr>
      <w:tr w:rsidR="00D9330B" w14:paraId="4F2FACD3" w14:textId="77777777" w:rsidTr="00286018">
        <w:trPr>
          <w:trHeight w:val="495"/>
        </w:trPr>
        <w:tc>
          <w:tcPr>
            <w:tcW w:w="1462" w:type="dxa"/>
            <w:vMerge/>
            <w:tcBorders>
              <w:top w:val="nil"/>
            </w:tcBorders>
            <w:shd w:val="clear" w:color="auto" w:fill="DEEAF6"/>
          </w:tcPr>
          <w:p w14:paraId="31C955FD" w14:textId="77777777" w:rsidR="00D9330B" w:rsidRDefault="00D9330B" w:rsidP="00286018">
            <w:pPr>
              <w:rPr>
                <w:sz w:val="2"/>
                <w:szCs w:val="2"/>
              </w:rPr>
            </w:pPr>
          </w:p>
        </w:tc>
        <w:tc>
          <w:tcPr>
            <w:tcW w:w="1170" w:type="dxa"/>
          </w:tcPr>
          <w:p w14:paraId="13F4A7AD" w14:textId="77777777" w:rsidR="00D9330B" w:rsidRDefault="00D9330B" w:rsidP="00286018">
            <w:pPr>
              <w:pStyle w:val="TableParagraph"/>
              <w:spacing w:before="43"/>
              <w:ind w:left="96" w:right="92"/>
              <w:rPr>
                <w:b/>
                <w:sz w:val="20"/>
              </w:rPr>
            </w:pPr>
            <w:r>
              <w:rPr>
                <w:b/>
                <w:sz w:val="20"/>
              </w:rPr>
              <w:t>Kontenjan</w:t>
            </w:r>
          </w:p>
        </w:tc>
        <w:tc>
          <w:tcPr>
            <w:tcW w:w="992" w:type="dxa"/>
          </w:tcPr>
          <w:p w14:paraId="2BD14661" w14:textId="77777777" w:rsidR="00D9330B" w:rsidRDefault="00D9330B" w:rsidP="00286018">
            <w:pPr>
              <w:pStyle w:val="TableParagraph"/>
              <w:spacing w:before="43"/>
              <w:ind w:left="89" w:right="87"/>
              <w:rPr>
                <w:b/>
                <w:sz w:val="20"/>
              </w:rPr>
            </w:pPr>
            <w:r>
              <w:rPr>
                <w:b/>
                <w:sz w:val="20"/>
              </w:rPr>
              <w:t>Yerleşen</w:t>
            </w:r>
          </w:p>
        </w:tc>
        <w:tc>
          <w:tcPr>
            <w:tcW w:w="986" w:type="dxa"/>
          </w:tcPr>
          <w:p w14:paraId="1685C95D" w14:textId="77777777" w:rsidR="00D9330B" w:rsidRDefault="00D9330B" w:rsidP="00286018">
            <w:pPr>
              <w:pStyle w:val="TableParagraph"/>
              <w:spacing w:before="43"/>
              <w:ind w:left="73" w:right="73"/>
              <w:rPr>
                <w:b/>
                <w:sz w:val="20"/>
              </w:rPr>
            </w:pPr>
            <w:r>
              <w:rPr>
                <w:b/>
                <w:sz w:val="20"/>
              </w:rPr>
              <w:t>Boş</w:t>
            </w:r>
          </w:p>
        </w:tc>
        <w:tc>
          <w:tcPr>
            <w:tcW w:w="937" w:type="dxa"/>
          </w:tcPr>
          <w:p w14:paraId="258AAB43" w14:textId="77777777" w:rsidR="00D9330B" w:rsidRDefault="00D9330B" w:rsidP="00286018">
            <w:pPr>
              <w:pStyle w:val="TableParagraph"/>
              <w:spacing w:line="227" w:lineRule="exact"/>
              <w:ind w:left="87" w:right="88"/>
              <w:rPr>
                <w:b/>
                <w:sz w:val="20"/>
              </w:rPr>
            </w:pPr>
            <w:r>
              <w:rPr>
                <w:b/>
                <w:sz w:val="20"/>
              </w:rPr>
              <w:t>Doluluk</w:t>
            </w:r>
          </w:p>
          <w:p w14:paraId="53D8DED6" w14:textId="77777777" w:rsidR="00D9330B" w:rsidRDefault="00D9330B" w:rsidP="00286018">
            <w:pPr>
              <w:pStyle w:val="TableParagraph"/>
              <w:spacing w:before="19" w:line="229" w:lineRule="exact"/>
              <w:ind w:left="87" w:right="89"/>
              <w:rPr>
                <w:b/>
                <w:sz w:val="20"/>
              </w:rPr>
            </w:pPr>
            <w:r>
              <w:rPr>
                <w:b/>
                <w:sz w:val="20"/>
              </w:rPr>
              <w:t>(%)</w:t>
            </w:r>
          </w:p>
        </w:tc>
        <w:tc>
          <w:tcPr>
            <w:tcW w:w="1167" w:type="dxa"/>
          </w:tcPr>
          <w:p w14:paraId="41E9AC1B" w14:textId="77777777" w:rsidR="00D9330B" w:rsidRDefault="00D9330B" w:rsidP="00286018">
            <w:pPr>
              <w:pStyle w:val="TableParagraph"/>
              <w:spacing w:before="122"/>
              <w:ind w:left="92" w:right="93"/>
              <w:rPr>
                <w:b/>
                <w:sz w:val="20"/>
              </w:rPr>
            </w:pPr>
            <w:r>
              <w:rPr>
                <w:b/>
                <w:sz w:val="20"/>
              </w:rPr>
              <w:t>Kontenjan</w:t>
            </w:r>
          </w:p>
        </w:tc>
        <w:tc>
          <w:tcPr>
            <w:tcW w:w="995" w:type="dxa"/>
          </w:tcPr>
          <w:p w14:paraId="3C7C6505" w14:textId="77777777" w:rsidR="00D9330B" w:rsidRDefault="00D9330B" w:rsidP="00286018">
            <w:pPr>
              <w:pStyle w:val="TableParagraph"/>
              <w:spacing w:before="122"/>
              <w:ind w:left="90" w:right="90"/>
              <w:rPr>
                <w:b/>
                <w:sz w:val="20"/>
              </w:rPr>
            </w:pPr>
            <w:r>
              <w:rPr>
                <w:b/>
                <w:sz w:val="20"/>
              </w:rPr>
              <w:t>Yerleşen</w:t>
            </w:r>
          </w:p>
        </w:tc>
        <w:tc>
          <w:tcPr>
            <w:tcW w:w="867" w:type="dxa"/>
          </w:tcPr>
          <w:p w14:paraId="0B3C4929" w14:textId="77777777" w:rsidR="00D9330B" w:rsidRDefault="00D9330B" w:rsidP="00286018">
            <w:pPr>
              <w:pStyle w:val="TableParagraph"/>
              <w:spacing w:before="122"/>
              <w:ind w:left="260"/>
              <w:jc w:val="left"/>
              <w:rPr>
                <w:b/>
                <w:sz w:val="20"/>
              </w:rPr>
            </w:pPr>
            <w:r>
              <w:rPr>
                <w:b/>
                <w:sz w:val="20"/>
              </w:rPr>
              <w:t>Boş</w:t>
            </w:r>
          </w:p>
        </w:tc>
        <w:tc>
          <w:tcPr>
            <w:tcW w:w="937" w:type="dxa"/>
          </w:tcPr>
          <w:p w14:paraId="22CF634B" w14:textId="77777777" w:rsidR="00D9330B" w:rsidRDefault="00D9330B" w:rsidP="00286018">
            <w:pPr>
              <w:pStyle w:val="TableParagraph"/>
              <w:spacing w:line="227" w:lineRule="exact"/>
              <w:ind w:left="87" w:right="89"/>
              <w:rPr>
                <w:b/>
                <w:sz w:val="20"/>
              </w:rPr>
            </w:pPr>
            <w:r>
              <w:rPr>
                <w:b/>
                <w:sz w:val="20"/>
              </w:rPr>
              <w:t>Doluluk</w:t>
            </w:r>
          </w:p>
          <w:p w14:paraId="0920ECF8" w14:textId="77777777" w:rsidR="00D9330B" w:rsidRDefault="00D9330B" w:rsidP="00286018">
            <w:pPr>
              <w:pStyle w:val="TableParagraph"/>
              <w:spacing w:before="19" w:line="229" w:lineRule="exact"/>
              <w:ind w:left="86" w:right="89"/>
              <w:rPr>
                <w:b/>
                <w:sz w:val="20"/>
              </w:rPr>
            </w:pPr>
            <w:r>
              <w:rPr>
                <w:b/>
                <w:sz w:val="20"/>
              </w:rPr>
              <w:t>(%)</w:t>
            </w:r>
          </w:p>
        </w:tc>
      </w:tr>
      <w:tr w:rsidR="00D9330B" w14:paraId="5ED84974" w14:textId="77777777" w:rsidTr="00286018">
        <w:trPr>
          <w:trHeight w:val="497"/>
        </w:trPr>
        <w:tc>
          <w:tcPr>
            <w:tcW w:w="1462" w:type="dxa"/>
            <w:shd w:val="clear" w:color="auto" w:fill="DEEAF6"/>
          </w:tcPr>
          <w:p w14:paraId="73060679" w14:textId="77777777" w:rsidR="00D9330B" w:rsidRDefault="00D9330B" w:rsidP="00286018">
            <w:pPr>
              <w:pStyle w:val="TableParagraph"/>
              <w:ind w:left="97"/>
              <w:jc w:val="left"/>
              <w:rPr>
                <w:b/>
                <w:sz w:val="20"/>
              </w:rPr>
            </w:pPr>
            <w:r>
              <w:rPr>
                <w:b/>
                <w:sz w:val="20"/>
              </w:rPr>
              <w:t>Devlet</w:t>
            </w:r>
          </w:p>
          <w:p w14:paraId="49333868" w14:textId="77777777" w:rsidR="00D9330B" w:rsidRDefault="00D9330B" w:rsidP="00286018">
            <w:pPr>
              <w:pStyle w:val="TableParagraph"/>
              <w:spacing w:before="17"/>
              <w:ind w:left="97"/>
              <w:jc w:val="left"/>
              <w:rPr>
                <w:b/>
                <w:sz w:val="20"/>
              </w:rPr>
            </w:pPr>
            <w:r>
              <w:rPr>
                <w:b/>
                <w:sz w:val="20"/>
              </w:rPr>
              <w:t>Üniversiteleri</w:t>
            </w:r>
          </w:p>
        </w:tc>
        <w:tc>
          <w:tcPr>
            <w:tcW w:w="1170" w:type="dxa"/>
            <w:vAlign w:val="center"/>
          </w:tcPr>
          <w:p w14:paraId="4D07CFB6" w14:textId="77777777" w:rsidR="00D9330B" w:rsidRDefault="00D9330B" w:rsidP="00286018">
            <w:pPr>
              <w:pStyle w:val="TableParagraph"/>
              <w:spacing w:before="81"/>
              <w:ind w:left="96" w:right="89"/>
              <w:rPr>
                <w:sz w:val="20"/>
              </w:rPr>
            </w:pPr>
            <w:r w:rsidRPr="008B2C0D">
              <w:rPr>
                <w:color w:val="000000" w:themeColor="text1"/>
                <w:sz w:val="24"/>
                <w:szCs w:val="24"/>
              </w:rPr>
              <w:t>658.466</w:t>
            </w:r>
          </w:p>
        </w:tc>
        <w:tc>
          <w:tcPr>
            <w:tcW w:w="992" w:type="dxa"/>
            <w:vAlign w:val="center"/>
          </w:tcPr>
          <w:p w14:paraId="3FB86277" w14:textId="77777777" w:rsidR="00D9330B" w:rsidRDefault="00D9330B" w:rsidP="00286018">
            <w:pPr>
              <w:pStyle w:val="TableParagraph"/>
              <w:spacing w:before="81"/>
              <w:ind w:left="89" w:right="87"/>
              <w:rPr>
                <w:sz w:val="20"/>
              </w:rPr>
            </w:pPr>
            <w:r w:rsidRPr="008B2C0D">
              <w:rPr>
                <w:color w:val="000000" w:themeColor="text1"/>
                <w:sz w:val="24"/>
                <w:szCs w:val="24"/>
              </w:rPr>
              <w:t>630.608</w:t>
            </w:r>
          </w:p>
        </w:tc>
        <w:tc>
          <w:tcPr>
            <w:tcW w:w="986" w:type="dxa"/>
            <w:vAlign w:val="center"/>
          </w:tcPr>
          <w:p w14:paraId="1FA657E8" w14:textId="77777777" w:rsidR="00D9330B" w:rsidRDefault="00D9330B" w:rsidP="00286018">
            <w:pPr>
              <w:pStyle w:val="TableParagraph"/>
              <w:spacing w:before="81"/>
              <w:ind w:left="75" w:right="73"/>
              <w:rPr>
                <w:sz w:val="20"/>
              </w:rPr>
            </w:pPr>
            <w:r w:rsidRPr="008B2C0D">
              <w:rPr>
                <w:color w:val="000000" w:themeColor="text1"/>
                <w:sz w:val="24"/>
                <w:szCs w:val="24"/>
              </w:rPr>
              <w:t>27</w:t>
            </w:r>
            <w:r>
              <w:rPr>
                <w:color w:val="000000" w:themeColor="text1"/>
              </w:rPr>
              <w:t>.</w:t>
            </w:r>
            <w:r w:rsidRPr="008B2C0D">
              <w:rPr>
                <w:color w:val="000000" w:themeColor="text1"/>
                <w:sz w:val="24"/>
                <w:szCs w:val="24"/>
              </w:rPr>
              <w:t>858</w:t>
            </w:r>
          </w:p>
        </w:tc>
        <w:tc>
          <w:tcPr>
            <w:tcW w:w="937" w:type="dxa"/>
            <w:vAlign w:val="center"/>
          </w:tcPr>
          <w:p w14:paraId="4B872F9B" w14:textId="77777777" w:rsidR="00D9330B" w:rsidRDefault="00D9330B" w:rsidP="00286018">
            <w:pPr>
              <w:pStyle w:val="TableParagraph"/>
              <w:spacing w:before="86"/>
              <w:ind w:right="127"/>
              <w:jc w:val="right"/>
              <w:rPr>
                <w:b/>
                <w:sz w:val="20"/>
              </w:rPr>
            </w:pPr>
            <w:r w:rsidRPr="008B2C0D">
              <w:rPr>
                <w:color w:val="000000" w:themeColor="text1"/>
                <w:sz w:val="24"/>
                <w:szCs w:val="24"/>
              </w:rPr>
              <w:t>95,77</w:t>
            </w:r>
          </w:p>
        </w:tc>
        <w:tc>
          <w:tcPr>
            <w:tcW w:w="1167" w:type="dxa"/>
            <w:vAlign w:val="center"/>
          </w:tcPr>
          <w:p w14:paraId="1C3A1C5C" w14:textId="77777777" w:rsidR="00D9330B" w:rsidRDefault="00D9330B" w:rsidP="00286018">
            <w:pPr>
              <w:pStyle w:val="TableParagraph"/>
              <w:spacing w:before="81"/>
              <w:ind w:left="92" w:right="92"/>
              <w:rPr>
                <w:sz w:val="20"/>
              </w:rPr>
            </w:pPr>
            <w:r w:rsidRPr="008B2C0D">
              <w:rPr>
                <w:color w:val="000000" w:themeColor="text1"/>
                <w:sz w:val="24"/>
                <w:szCs w:val="24"/>
              </w:rPr>
              <w:t>653.205</w:t>
            </w:r>
          </w:p>
        </w:tc>
        <w:tc>
          <w:tcPr>
            <w:tcW w:w="995" w:type="dxa"/>
            <w:vAlign w:val="center"/>
          </w:tcPr>
          <w:p w14:paraId="7C5EC119" w14:textId="77777777" w:rsidR="00D9330B" w:rsidRDefault="00D9330B" w:rsidP="00286018">
            <w:pPr>
              <w:pStyle w:val="TableParagraph"/>
              <w:spacing w:before="81"/>
              <w:ind w:left="90" w:right="90"/>
              <w:rPr>
                <w:sz w:val="20"/>
              </w:rPr>
            </w:pPr>
            <w:r w:rsidRPr="008B2C0D">
              <w:rPr>
                <w:color w:val="000000" w:themeColor="text1"/>
                <w:sz w:val="24"/>
                <w:szCs w:val="24"/>
              </w:rPr>
              <w:t>613.343</w:t>
            </w:r>
          </w:p>
        </w:tc>
        <w:tc>
          <w:tcPr>
            <w:tcW w:w="867" w:type="dxa"/>
            <w:vAlign w:val="center"/>
          </w:tcPr>
          <w:p w14:paraId="5A22C774" w14:textId="77777777" w:rsidR="00D9330B" w:rsidRDefault="00D9330B" w:rsidP="00286018">
            <w:pPr>
              <w:pStyle w:val="TableParagraph"/>
              <w:spacing w:before="81"/>
              <w:ind w:right="141"/>
              <w:jc w:val="right"/>
              <w:rPr>
                <w:sz w:val="20"/>
              </w:rPr>
            </w:pPr>
            <w:r w:rsidRPr="008B2C0D">
              <w:rPr>
                <w:color w:val="000000" w:themeColor="text1"/>
                <w:sz w:val="24"/>
                <w:szCs w:val="24"/>
              </w:rPr>
              <w:t>39.862</w:t>
            </w:r>
          </w:p>
        </w:tc>
        <w:tc>
          <w:tcPr>
            <w:tcW w:w="937" w:type="dxa"/>
            <w:vAlign w:val="center"/>
          </w:tcPr>
          <w:p w14:paraId="034A9239" w14:textId="77777777" w:rsidR="00D9330B" w:rsidRDefault="00D9330B" w:rsidP="00286018">
            <w:pPr>
              <w:pStyle w:val="TableParagraph"/>
              <w:spacing w:before="81"/>
              <w:ind w:left="87" w:right="89"/>
              <w:rPr>
                <w:sz w:val="20"/>
              </w:rPr>
            </w:pPr>
            <w:r w:rsidRPr="008B2C0D">
              <w:rPr>
                <w:color w:val="000000" w:themeColor="text1"/>
                <w:sz w:val="24"/>
                <w:szCs w:val="24"/>
              </w:rPr>
              <w:t>93,90</w:t>
            </w:r>
          </w:p>
        </w:tc>
      </w:tr>
      <w:tr w:rsidR="00D9330B" w14:paraId="5390AB7D" w14:textId="77777777" w:rsidTr="00286018">
        <w:trPr>
          <w:trHeight w:val="656"/>
        </w:trPr>
        <w:tc>
          <w:tcPr>
            <w:tcW w:w="1462" w:type="dxa"/>
            <w:shd w:val="clear" w:color="auto" w:fill="DEEAF6"/>
          </w:tcPr>
          <w:p w14:paraId="2A86E28D" w14:textId="77777777" w:rsidR="00D9330B" w:rsidRDefault="00D9330B" w:rsidP="00286018">
            <w:pPr>
              <w:pStyle w:val="TableParagraph"/>
              <w:spacing w:line="227" w:lineRule="exact"/>
              <w:ind w:left="97"/>
              <w:jc w:val="left"/>
              <w:rPr>
                <w:b/>
                <w:sz w:val="20"/>
              </w:rPr>
            </w:pPr>
            <w:r>
              <w:rPr>
                <w:b/>
                <w:sz w:val="20"/>
              </w:rPr>
              <w:t>Vakıf</w:t>
            </w:r>
          </w:p>
          <w:p w14:paraId="13AE0BEC" w14:textId="77777777" w:rsidR="00D9330B" w:rsidRDefault="00D9330B" w:rsidP="00286018">
            <w:pPr>
              <w:pStyle w:val="TableParagraph"/>
              <w:spacing w:before="17"/>
              <w:ind w:left="97"/>
              <w:jc w:val="left"/>
              <w:rPr>
                <w:b/>
                <w:sz w:val="20"/>
              </w:rPr>
            </w:pPr>
            <w:r>
              <w:rPr>
                <w:b/>
                <w:sz w:val="20"/>
              </w:rPr>
              <w:t>Üniversiteleri</w:t>
            </w:r>
          </w:p>
        </w:tc>
        <w:tc>
          <w:tcPr>
            <w:tcW w:w="1170" w:type="dxa"/>
            <w:vAlign w:val="center"/>
          </w:tcPr>
          <w:p w14:paraId="170C2844" w14:textId="77777777" w:rsidR="00D9330B" w:rsidRDefault="00D9330B" w:rsidP="00286018">
            <w:pPr>
              <w:pStyle w:val="TableParagraph"/>
              <w:spacing w:before="1"/>
              <w:ind w:left="96" w:right="89"/>
              <w:rPr>
                <w:sz w:val="20"/>
              </w:rPr>
            </w:pPr>
            <w:r>
              <w:rPr>
                <w:color w:val="000000" w:themeColor="text1"/>
                <w:sz w:val="24"/>
                <w:szCs w:val="24"/>
              </w:rPr>
              <w:t>164.8</w:t>
            </w:r>
            <w:r w:rsidRPr="008B2C0D">
              <w:rPr>
                <w:color w:val="000000" w:themeColor="text1"/>
                <w:sz w:val="24"/>
                <w:szCs w:val="24"/>
              </w:rPr>
              <w:t>17</w:t>
            </w:r>
          </w:p>
        </w:tc>
        <w:tc>
          <w:tcPr>
            <w:tcW w:w="992" w:type="dxa"/>
            <w:vAlign w:val="center"/>
          </w:tcPr>
          <w:p w14:paraId="48716FC6" w14:textId="77777777" w:rsidR="00D9330B" w:rsidRDefault="00D9330B" w:rsidP="00286018">
            <w:pPr>
              <w:pStyle w:val="TableParagraph"/>
              <w:spacing w:before="1"/>
              <w:ind w:left="89" w:right="87"/>
              <w:rPr>
                <w:sz w:val="20"/>
              </w:rPr>
            </w:pPr>
            <w:r w:rsidRPr="008B2C0D">
              <w:rPr>
                <w:color w:val="000000" w:themeColor="text1"/>
                <w:sz w:val="24"/>
                <w:szCs w:val="24"/>
              </w:rPr>
              <w:t>14</w:t>
            </w:r>
            <w:r>
              <w:rPr>
                <w:color w:val="000000" w:themeColor="text1"/>
                <w:sz w:val="24"/>
                <w:szCs w:val="24"/>
              </w:rPr>
              <w:t>1.323</w:t>
            </w:r>
          </w:p>
        </w:tc>
        <w:tc>
          <w:tcPr>
            <w:tcW w:w="986" w:type="dxa"/>
            <w:vAlign w:val="center"/>
          </w:tcPr>
          <w:p w14:paraId="42D9EC2D" w14:textId="77777777" w:rsidR="00D9330B" w:rsidRDefault="00D9330B" w:rsidP="00286018">
            <w:pPr>
              <w:pStyle w:val="TableParagraph"/>
              <w:spacing w:before="1"/>
              <w:ind w:left="75" w:right="73"/>
              <w:rPr>
                <w:sz w:val="20"/>
              </w:rPr>
            </w:pPr>
            <w:r>
              <w:rPr>
                <w:color w:val="000000" w:themeColor="text1"/>
                <w:sz w:val="24"/>
                <w:szCs w:val="24"/>
              </w:rPr>
              <w:t>23.494</w:t>
            </w:r>
          </w:p>
        </w:tc>
        <w:tc>
          <w:tcPr>
            <w:tcW w:w="937" w:type="dxa"/>
            <w:vAlign w:val="center"/>
          </w:tcPr>
          <w:p w14:paraId="3D464DBE" w14:textId="77777777" w:rsidR="00D9330B" w:rsidRDefault="00D9330B" w:rsidP="00286018">
            <w:pPr>
              <w:pStyle w:val="TableParagraph"/>
              <w:ind w:right="127"/>
              <w:jc w:val="right"/>
              <w:rPr>
                <w:b/>
                <w:sz w:val="20"/>
              </w:rPr>
            </w:pPr>
            <w:r w:rsidRPr="008B2C0D">
              <w:rPr>
                <w:color w:val="000000" w:themeColor="text1"/>
                <w:sz w:val="24"/>
                <w:szCs w:val="24"/>
              </w:rPr>
              <w:t>85,7</w:t>
            </w:r>
            <w:r>
              <w:rPr>
                <w:color w:val="000000" w:themeColor="text1"/>
                <w:sz w:val="24"/>
                <w:szCs w:val="24"/>
              </w:rPr>
              <w:t>5</w:t>
            </w:r>
          </w:p>
        </w:tc>
        <w:tc>
          <w:tcPr>
            <w:tcW w:w="1167" w:type="dxa"/>
            <w:vAlign w:val="center"/>
          </w:tcPr>
          <w:p w14:paraId="4D21523B" w14:textId="77777777" w:rsidR="00D9330B" w:rsidRDefault="00D9330B" w:rsidP="00286018">
            <w:pPr>
              <w:pStyle w:val="TableParagraph"/>
              <w:spacing w:before="1"/>
              <w:ind w:left="92" w:right="92"/>
              <w:rPr>
                <w:sz w:val="20"/>
              </w:rPr>
            </w:pPr>
            <w:r w:rsidRPr="008B2C0D">
              <w:rPr>
                <w:color w:val="000000" w:themeColor="text1"/>
                <w:sz w:val="24"/>
                <w:szCs w:val="24"/>
              </w:rPr>
              <w:t>156.261</w:t>
            </w:r>
          </w:p>
        </w:tc>
        <w:tc>
          <w:tcPr>
            <w:tcW w:w="995" w:type="dxa"/>
            <w:vAlign w:val="center"/>
          </w:tcPr>
          <w:p w14:paraId="125C83F8" w14:textId="77777777" w:rsidR="00D9330B" w:rsidRDefault="00D9330B" w:rsidP="00286018">
            <w:pPr>
              <w:pStyle w:val="TableParagraph"/>
              <w:spacing w:before="1"/>
              <w:ind w:left="90" w:right="90"/>
              <w:rPr>
                <w:sz w:val="20"/>
              </w:rPr>
            </w:pPr>
            <w:r w:rsidRPr="008B2C0D">
              <w:rPr>
                <w:color w:val="000000" w:themeColor="text1"/>
                <w:sz w:val="24"/>
                <w:szCs w:val="24"/>
              </w:rPr>
              <w:t>131.485</w:t>
            </w:r>
          </w:p>
        </w:tc>
        <w:tc>
          <w:tcPr>
            <w:tcW w:w="867" w:type="dxa"/>
            <w:vAlign w:val="center"/>
          </w:tcPr>
          <w:p w14:paraId="023F6F1B" w14:textId="77777777" w:rsidR="00D9330B" w:rsidRDefault="00D9330B" w:rsidP="00286018">
            <w:pPr>
              <w:pStyle w:val="TableParagraph"/>
              <w:spacing w:before="1"/>
              <w:ind w:right="141"/>
              <w:jc w:val="right"/>
              <w:rPr>
                <w:sz w:val="20"/>
              </w:rPr>
            </w:pPr>
            <w:r w:rsidRPr="008B2C0D">
              <w:rPr>
                <w:color w:val="000000" w:themeColor="text1"/>
                <w:sz w:val="24"/>
                <w:szCs w:val="24"/>
              </w:rPr>
              <w:t>24.776</w:t>
            </w:r>
          </w:p>
        </w:tc>
        <w:tc>
          <w:tcPr>
            <w:tcW w:w="937" w:type="dxa"/>
            <w:vAlign w:val="center"/>
          </w:tcPr>
          <w:p w14:paraId="56960027" w14:textId="77777777" w:rsidR="00D9330B" w:rsidRDefault="00D9330B" w:rsidP="00286018">
            <w:pPr>
              <w:pStyle w:val="TableParagraph"/>
              <w:spacing w:before="1"/>
              <w:ind w:left="87" w:right="89"/>
              <w:rPr>
                <w:sz w:val="20"/>
              </w:rPr>
            </w:pPr>
            <w:r w:rsidRPr="008B2C0D">
              <w:rPr>
                <w:color w:val="000000" w:themeColor="text1"/>
                <w:sz w:val="24"/>
                <w:szCs w:val="24"/>
              </w:rPr>
              <w:t>84,14</w:t>
            </w:r>
          </w:p>
        </w:tc>
      </w:tr>
      <w:tr w:rsidR="00D9330B" w14:paraId="65CF23ED" w14:textId="77777777" w:rsidTr="00286018">
        <w:trPr>
          <w:trHeight w:val="657"/>
        </w:trPr>
        <w:tc>
          <w:tcPr>
            <w:tcW w:w="1462" w:type="dxa"/>
            <w:shd w:val="clear" w:color="auto" w:fill="DEEAF6"/>
          </w:tcPr>
          <w:p w14:paraId="700FCAA6" w14:textId="77777777" w:rsidR="00D9330B" w:rsidRDefault="00D9330B" w:rsidP="00286018">
            <w:pPr>
              <w:pStyle w:val="TableParagraph"/>
              <w:spacing w:line="227" w:lineRule="exact"/>
              <w:ind w:left="97"/>
              <w:jc w:val="left"/>
              <w:rPr>
                <w:b/>
                <w:sz w:val="20"/>
              </w:rPr>
            </w:pPr>
            <w:r>
              <w:rPr>
                <w:b/>
                <w:sz w:val="20"/>
              </w:rPr>
              <w:t>KKTC</w:t>
            </w:r>
          </w:p>
          <w:p w14:paraId="28DE4641" w14:textId="77777777" w:rsidR="00D9330B" w:rsidRDefault="00D9330B" w:rsidP="00286018">
            <w:pPr>
              <w:pStyle w:val="TableParagraph"/>
              <w:spacing w:before="17"/>
              <w:ind w:left="97"/>
              <w:jc w:val="left"/>
              <w:rPr>
                <w:b/>
                <w:sz w:val="20"/>
              </w:rPr>
            </w:pPr>
            <w:r>
              <w:rPr>
                <w:b/>
                <w:sz w:val="20"/>
              </w:rPr>
              <w:t>Üniversiteleri</w:t>
            </w:r>
          </w:p>
        </w:tc>
        <w:tc>
          <w:tcPr>
            <w:tcW w:w="1170" w:type="dxa"/>
            <w:vAlign w:val="center"/>
          </w:tcPr>
          <w:p w14:paraId="723A0081" w14:textId="77777777" w:rsidR="00D9330B" w:rsidRDefault="00D9330B" w:rsidP="00286018">
            <w:pPr>
              <w:pStyle w:val="TableParagraph"/>
              <w:spacing w:before="1"/>
              <w:ind w:left="96" w:right="89"/>
              <w:rPr>
                <w:sz w:val="20"/>
              </w:rPr>
            </w:pPr>
            <w:r w:rsidRPr="008B2C0D">
              <w:rPr>
                <w:color w:val="000000" w:themeColor="text1"/>
                <w:sz w:val="24"/>
                <w:szCs w:val="24"/>
              </w:rPr>
              <w:t>13.848</w:t>
            </w:r>
          </w:p>
        </w:tc>
        <w:tc>
          <w:tcPr>
            <w:tcW w:w="992" w:type="dxa"/>
            <w:vAlign w:val="center"/>
          </w:tcPr>
          <w:p w14:paraId="36324D59" w14:textId="77777777" w:rsidR="00D9330B" w:rsidRDefault="00D9330B" w:rsidP="00286018">
            <w:pPr>
              <w:pStyle w:val="TableParagraph"/>
              <w:spacing w:before="1"/>
              <w:ind w:left="89" w:right="85"/>
              <w:rPr>
                <w:sz w:val="20"/>
              </w:rPr>
            </w:pPr>
            <w:r w:rsidRPr="008B2C0D">
              <w:rPr>
                <w:color w:val="000000" w:themeColor="text1"/>
                <w:sz w:val="24"/>
                <w:szCs w:val="24"/>
              </w:rPr>
              <w:t>8.636</w:t>
            </w:r>
          </w:p>
        </w:tc>
        <w:tc>
          <w:tcPr>
            <w:tcW w:w="986" w:type="dxa"/>
            <w:vAlign w:val="center"/>
          </w:tcPr>
          <w:p w14:paraId="42CE2C2B" w14:textId="77777777" w:rsidR="00D9330B" w:rsidRDefault="00D9330B" w:rsidP="00286018">
            <w:pPr>
              <w:pStyle w:val="TableParagraph"/>
              <w:spacing w:before="1"/>
              <w:ind w:left="73" w:right="73"/>
              <w:rPr>
                <w:sz w:val="20"/>
              </w:rPr>
            </w:pPr>
            <w:r w:rsidRPr="00635718">
              <w:rPr>
                <w:color w:val="000000" w:themeColor="text1"/>
                <w:sz w:val="24"/>
                <w:szCs w:val="24"/>
              </w:rPr>
              <w:t>5.</w:t>
            </w:r>
            <w:r w:rsidRPr="008B2C0D">
              <w:rPr>
                <w:color w:val="000000" w:themeColor="text1"/>
                <w:sz w:val="24"/>
                <w:szCs w:val="24"/>
              </w:rPr>
              <w:t>212</w:t>
            </w:r>
          </w:p>
        </w:tc>
        <w:tc>
          <w:tcPr>
            <w:tcW w:w="937" w:type="dxa"/>
            <w:vAlign w:val="center"/>
          </w:tcPr>
          <w:p w14:paraId="7A81497B" w14:textId="77777777" w:rsidR="00D9330B" w:rsidRDefault="00D9330B" w:rsidP="00286018">
            <w:pPr>
              <w:pStyle w:val="TableParagraph"/>
              <w:ind w:right="127"/>
              <w:jc w:val="right"/>
              <w:rPr>
                <w:b/>
                <w:sz w:val="20"/>
              </w:rPr>
            </w:pPr>
            <w:r w:rsidRPr="008B2C0D">
              <w:rPr>
                <w:color w:val="000000" w:themeColor="text1"/>
                <w:sz w:val="24"/>
                <w:szCs w:val="24"/>
              </w:rPr>
              <w:t>62,36</w:t>
            </w:r>
          </w:p>
        </w:tc>
        <w:tc>
          <w:tcPr>
            <w:tcW w:w="1167" w:type="dxa"/>
            <w:vAlign w:val="center"/>
          </w:tcPr>
          <w:p w14:paraId="4CECE80C" w14:textId="77777777" w:rsidR="00D9330B" w:rsidRDefault="00D9330B" w:rsidP="00286018">
            <w:pPr>
              <w:pStyle w:val="TableParagraph"/>
              <w:spacing w:before="1"/>
              <w:ind w:left="92" w:right="92"/>
              <w:rPr>
                <w:sz w:val="20"/>
              </w:rPr>
            </w:pPr>
            <w:r w:rsidRPr="008B2C0D">
              <w:rPr>
                <w:color w:val="000000" w:themeColor="text1"/>
                <w:sz w:val="24"/>
                <w:szCs w:val="24"/>
              </w:rPr>
              <w:t>14.017</w:t>
            </w:r>
          </w:p>
        </w:tc>
        <w:tc>
          <w:tcPr>
            <w:tcW w:w="995" w:type="dxa"/>
            <w:vAlign w:val="center"/>
          </w:tcPr>
          <w:p w14:paraId="378EF1A5" w14:textId="77777777" w:rsidR="00D9330B" w:rsidRDefault="00D9330B" w:rsidP="00286018">
            <w:pPr>
              <w:pStyle w:val="TableParagraph"/>
              <w:spacing w:before="1"/>
              <w:ind w:left="90" w:right="89"/>
              <w:rPr>
                <w:sz w:val="20"/>
              </w:rPr>
            </w:pPr>
            <w:r w:rsidRPr="008B2C0D">
              <w:rPr>
                <w:color w:val="000000" w:themeColor="text1"/>
                <w:sz w:val="24"/>
                <w:szCs w:val="24"/>
              </w:rPr>
              <w:t>8.039</w:t>
            </w:r>
          </w:p>
        </w:tc>
        <w:tc>
          <w:tcPr>
            <w:tcW w:w="867" w:type="dxa"/>
            <w:vAlign w:val="center"/>
          </w:tcPr>
          <w:p w14:paraId="01D92641" w14:textId="77777777" w:rsidR="00D9330B" w:rsidRDefault="00D9330B" w:rsidP="00286018">
            <w:pPr>
              <w:pStyle w:val="TableParagraph"/>
              <w:spacing w:before="1"/>
              <w:ind w:right="192"/>
              <w:jc w:val="right"/>
              <w:rPr>
                <w:sz w:val="20"/>
              </w:rPr>
            </w:pPr>
            <w:r w:rsidRPr="008B2C0D">
              <w:rPr>
                <w:color w:val="000000" w:themeColor="text1"/>
                <w:sz w:val="24"/>
                <w:szCs w:val="24"/>
              </w:rPr>
              <w:t>5.978</w:t>
            </w:r>
          </w:p>
        </w:tc>
        <w:tc>
          <w:tcPr>
            <w:tcW w:w="937" w:type="dxa"/>
            <w:vAlign w:val="center"/>
          </w:tcPr>
          <w:p w14:paraId="029D40E4" w14:textId="77777777" w:rsidR="00D9330B" w:rsidRDefault="00D9330B" w:rsidP="00286018">
            <w:pPr>
              <w:pStyle w:val="TableParagraph"/>
              <w:spacing w:before="1"/>
              <w:ind w:left="87" w:right="89"/>
              <w:rPr>
                <w:sz w:val="20"/>
              </w:rPr>
            </w:pPr>
            <w:r w:rsidRPr="008B2C0D">
              <w:rPr>
                <w:color w:val="000000" w:themeColor="text1"/>
                <w:sz w:val="24"/>
                <w:szCs w:val="24"/>
              </w:rPr>
              <w:t>57,35</w:t>
            </w:r>
          </w:p>
        </w:tc>
      </w:tr>
      <w:tr w:rsidR="00D9330B" w14:paraId="7B66C2B4" w14:textId="77777777" w:rsidTr="00286018">
        <w:trPr>
          <w:trHeight w:val="903"/>
        </w:trPr>
        <w:tc>
          <w:tcPr>
            <w:tcW w:w="1462" w:type="dxa"/>
            <w:shd w:val="clear" w:color="auto" w:fill="DEEAF6"/>
          </w:tcPr>
          <w:p w14:paraId="56A2154E" w14:textId="77777777" w:rsidR="00D9330B" w:rsidRDefault="00D9330B" w:rsidP="00286018">
            <w:pPr>
              <w:pStyle w:val="TableParagraph"/>
              <w:spacing w:line="227" w:lineRule="exact"/>
              <w:ind w:left="97"/>
              <w:jc w:val="left"/>
              <w:rPr>
                <w:b/>
                <w:sz w:val="20"/>
              </w:rPr>
            </w:pPr>
            <w:r>
              <w:rPr>
                <w:b/>
                <w:sz w:val="20"/>
              </w:rPr>
              <w:t>Diğer</w:t>
            </w:r>
          </w:p>
          <w:p w14:paraId="23183E35" w14:textId="77777777" w:rsidR="00D9330B" w:rsidRDefault="00D9330B" w:rsidP="00286018">
            <w:pPr>
              <w:pStyle w:val="TableParagraph"/>
              <w:spacing w:before="17" w:line="261" w:lineRule="auto"/>
              <w:ind w:left="97"/>
              <w:jc w:val="left"/>
              <w:rPr>
                <w:b/>
                <w:sz w:val="20"/>
              </w:rPr>
            </w:pPr>
            <w:r>
              <w:rPr>
                <w:b/>
                <w:sz w:val="20"/>
              </w:rPr>
              <w:t xml:space="preserve">Ülkelerdeki </w:t>
            </w:r>
            <w:r>
              <w:rPr>
                <w:b/>
                <w:w w:val="95"/>
                <w:sz w:val="20"/>
              </w:rPr>
              <w:t>Üniversiteler</w:t>
            </w:r>
          </w:p>
        </w:tc>
        <w:tc>
          <w:tcPr>
            <w:tcW w:w="1170" w:type="dxa"/>
            <w:vAlign w:val="center"/>
          </w:tcPr>
          <w:p w14:paraId="74174E2B" w14:textId="77777777" w:rsidR="00D9330B" w:rsidRDefault="00D9330B" w:rsidP="00286018">
            <w:pPr>
              <w:pStyle w:val="TableParagraph"/>
              <w:ind w:left="96" w:right="91"/>
              <w:rPr>
                <w:sz w:val="20"/>
              </w:rPr>
            </w:pPr>
            <w:r w:rsidRPr="008B2C0D">
              <w:rPr>
                <w:color w:val="000000" w:themeColor="text1"/>
                <w:sz w:val="24"/>
                <w:szCs w:val="24"/>
              </w:rPr>
              <w:t>1.090</w:t>
            </w:r>
          </w:p>
        </w:tc>
        <w:tc>
          <w:tcPr>
            <w:tcW w:w="992" w:type="dxa"/>
            <w:vAlign w:val="center"/>
          </w:tcPr>
          <w:p w14:paraId="3D1EBC6F" w14:textId="77777777" w:rsidR="00D9330B" w:rsidRDefault="00D9330B" w:rsidP="00286018">
            <w:pPr>
              <w:pStyle w:val="TableParagraph"/>
              <w:ind w:left="89" w:right="85"/>
              <w:rPr>
                <w:sz w:val="20"/>
              </w:rPr>
            </w:pPr>
            <w:r w:rsidRPr="008B2C0D">
              <w:rPr>
                <w:color w:val="000000" w:themeColor="text1"/>
                <w:sz w:val="24"/>
                <w:szCs w:val="24"/>
              </w:rPr>
              <w:t>598</w:t>
            </w:r>
          </w:p>
        </w:tc>
        <w:tc>
          <w:tcPr>
            <w:tcW w:w="986" w:type="dxa"/>
            <w:vAlign w:val="center"/>
          </w:tcPr>
          <w:p w14:paraId="5F2FCF0E" w14:textId="77777777" w:rsidR="00D9330B" w:rsidRDefault="00D9330B" w:rsidP="00286018">
            <w:pPr>
              <w:pStyle w:val="TableParagraph"/>
              <w:ind w:left="75" w:right="71"/>
              <w:rPr>
                <w:sz w:val="20"/>
              </w:rPr>
            </w:pPr>
            <w:r w:rsidRPr="008B2C0D">
              <w:rPr>
                <w:color w:val="000000" w:themeColor="text1"/>
                <w:sz w:val="24"/>
                <w:szCs w:val="24"/>
              </w:rPr>
              <w:t>492</w:t>
            </w:r>
          </w:p>
        </w:tc>
        <w:tc>
          <w:tcPr>
            <w:tcW w:w="937" w:type="dxa"/>
            <w:vAlign w:val="center"/>
          </w:tcPr>
          <w:p w14:paraId="48273908" w14:textId="77777777" w:rsidR="00D9330B" w:rsidRDefault="00D9330B" w:rsidP="00286018">
            <w:pPr>
              <w:pStyle w:val="TableParagraph"/>
              <w:ind w:right="127"/>
              <w:jc w:val="right"/>
              <w:rPr>
                <w:b/>
                <w:sz w:val="20"/>
              </w:rPr>
            </w:pPr>
            <w:r w:rsidRPr="008B2C0D">
              <w:rPr>
                <w:color w:val="000000" w:themeColor="text1"/>
                <w:sz w:val="24"/>
                <w:szCs w:val="24"/>
              </w:rPr>
              <w:t>54,86</w:t>
            </w:r>
          </w:p>
        </w:tc>
        <w:tc>
          <w:tcPr>
            <w:tcW w:w="1167" w:type="dxa"/>
            <w:vAlign w:val="center"/>
          </w:tcPr>
          <w:p w14:paraId="23C3C5CB" w14:textId="77777777" w:rsidR="00D9330B" w:rsidRDefault="00D9330B" w:rsidP="00286018">
            <w:pPr>
              <w:pStyle w:val="TableParagraph"/>
              <w:ind w:left="92" w:right="92"/>
              <w:rPr>
                <w:sz w:val="20"/>
              </w:rPr>
            </w:pPr>
            <w:r w:rsidRPr="008B2C0D">
              <w:rPr>
                <w:color w:val="000000" w:themeColor="text1"/>
                <w:sz w:val="24"/>
                <w:szCs w:val="24"/>
              </w:rPr>
              <w:t>1.211</w:t>
            </w:r>
          </w:p>
        </w:tc>
        <w:tc>
          <w:tcPr>
            <w:tcW w:w="995" w:type="dxa"/>
            <w:vAlign w:val="center"/>
          </w:tcPr>
          <w:p w14:paraId="2887C714" w14:textId="77777777" w:rsidR="00D9330B" w:rsidRDefault="00D9330B" w:rsidP="00286018">
            <w:pPr>
              <w:pStyle w:val="TableParagraph"/>
              <w:ind w:left="90" w:right="89"/>
              <w:rPr>
                <w:sz w:val="20"/>
              </w:rPr>
            </w:pPr>
            <w:r w:rsidRPr="008B2C0D">
              <w:rPr>
                <w:color w:val="000000" w:themeColor="text1"/>
                <w:sz w:val="24"/>
                <w:szCs w:val="24"/>
              </w:rPr>
              <w:t>594</w:t>
            </w:r>
          </w:p>
        </w:tc>
        <w:tc>
          <w:tcPr>
            <w:tcW w:w="867" w:type="dxa"/>
            <w:vAlign w:val="center"/>
          </w:tcPr>
          <w:p w14:paraId="7BED04EE" w14:textId="77777777" w:rsidR="00D9330B" w:rsidRDefault="00D9330B" w:rsidP="00286018">
            <w:pPr>
              <w:pStyle w:val="TableParagraph"/>
              <w:ind w:left="268"/>
              <w:jc w:val="left"/>
              <w:rPr>
                <w:sz w:val="20"/>
              </w:rPr>
            </w:pPr>
            <w:r w:rsidRPr="008B2C0D">
              <w:rPr>
                <w:color w:val="000000" w:themeColor="text1"/>
                <w:sz w:val="24"/>
                <w:szCs w:val="24"/>
              </w:rPr>
              <w:t>617</w:t>
            </w:r>
          </w:p>
        </w:tc>
        <w:tc>
          <w:tcPr>
            <w:tcW w:w="937" w:type="dxa"/>
            <w:vAlign w:val="center"/>
          </w:tcPr>
          <w:p w14:paraId="4EE32748" w14:textId="77777777" w:rsidR="00D9330B" w:rsidRDefault="00D9330B" w:rsidP="00286018">
            <w:pPr>
              <w:pStyle w:val="TableParagraph"/>
              <w:ind w:left="87" w:right="89"/>
              <w:rPr>
                <w:sz w:val="20"/>
              </w:rPr>
            </w:pPr>
            <w:r w:rsidRPr="008B2C0D">
              <w:rPr>
                <w:color w:val="000000" w:themeColor="text1"/>
                <w:sz w:val="24"/>
                <w:szCs w:val="24"/>
              </w:rPr>
              <w:t>49,05</w:t>
            </w:r>
          </w:p>
        </w:tc>
      </w:tr>
      <w:tr w:rsidR="00D9330B" w14:paraId="54870504" w14:textId="77777777" w:rsidTr="00286018">
        <w:trPr>
          <w:trHeight w:val="409"/>
        </w:trPr>
        <w:tc>
          <w:tcPr>
            <w:tcW w:w="1462" w:type="dxa"/>
            <w:shd w:val="clear" w:color="auto" w:fill="DEEAF6"/>
          </w:tcPr>
          <w:p w14:paraId="30487385" w14:textId="77777777" w:rsidR="00D9330B" w:rsidRDefault="00D9330B" w:rsidP="00286018">
            <w:pPr>
              <w:pStyle w:val="TableParagraph"/>
              <w:spacing w:line="227" w:lineRule="exact"/>
              <w:ind w:left="97"/>
              <w:jc w:val="left"/>
              <w:rPr>
                <w:b/>
                <w:sz w:val="20"/>
              </w:rPr>
            </w:pPr>
            <w:r>
              <w:rPr>
                <w:b/>
                <w:sz w:val="20"/>
              </w:rPr>
              <w:t>Toplam</w:t>
            </w:r>
          </w:p>
        </w:tc>
        <w:tc>
          <w:tcPr>
            <w:tcW w:w="1170" w:type="dxa"/>
            <w:shd w:val="clear" w:color="auto" w:fill="DEEAF6"/>
            <w:vAlign w:val="center"/>
          </w:tcPr>
          <w:p w14:paraId="6684802B" w14:textId="77777777" w:rsidR="00D9330B" w:rsidRDefault="00D9330B" w:rsidP="00286018">
            <w:pPr>
              <w:pStyle w:val="TableParagraph"/>
              <w:spacing w:line="227" w:lineRule="exact"/>
              <w:ind w:left="96" w:right="89"/>
              <w:rPr>
                <w:b/>
                <w:sz w:val="20"/>
              </w:rPr>
            </w:pPr>
            <w:r>
              <w:rPr>
                <w:b/>
                <w:color w:val="000000" w:themeColor="text1"/>
                <w:sz w:val="24"/>
                <w:szCs w:val="24"/>
              </w:rPr>
              <w:t>838.221</w:t>
            </w:r>
          </w:p>
        </w:tc>
        <w:tc>
          <w:tcPr>
            <w:tcW w:w="992" w:type="dxa"/>
            <w:shd w:val="clear" w:color="auto" w:fill="DEEAF6"/>
            <w:vAlign w:val="center"/>
          </w:tcPr>
          <w:p w14:paraId="0435DD12" w14:textId="77777777" w:rsidR="00D9330B" w:rsidRDefault="00D9330B" w:rsidP="00286018">
            <w:pPr>
              <w:pStyle w:val="TableParagraph"/>
              <w:spacing w:line="227" w:lineRule="exact"/>
              <w:ind w:left="89" w:right="87"/>
              <w:rPr>
                <w:b/>
                <w:sz w:val="20"/>
              </w:rPr>
            </w:pPr>
            <w:r>
              <w:rPr>
                <w:b/>
                <w:color w:val="000000" w:themeColor="text1"/>
                <w:sz w:val="24"/>
                <w:szCs w:val="24"/>
              </w:rPr>
              <w:t>781.165</w:t>
            </w:r>
          </w:p>
        </w:tc>
        <w:tc>
          <w:tcPr>
            <w:tcW w:w="986" w:type="dxa"/>
            <w:shd w:val="clear" w:color="auto" w:fill="DEEAF6"/>
            <w:vAlign w:val="center"/>
          </w:tcPr>
          <w:p w14:paraId="216EC126" w14:textId="77777777" w:rsidR="00D9330B" w:rsidRDefault="00D9330B" w:rsidP="00286018">
            <w:pPr>
              <w:pStyle w:val="TableParagraph"/>
              <w:spacing w:line="227" w:lineRule="exact"/>
              <w:ind w:left="75" w:right="73"/>
              <w:rPr>
                <w:b/>
                <w:sz w:val="20"/>
              </w:rPr>
            </w:pPr>
            <w:r w:rsidRPr="00DA223E">
              <w:rPr>
                <w:b/>
                <w:color w:val="000000" w:themeColor="text1"/>
                <w:sz w:val="24"/>
                <w:szCs w:val="24"/>
              </w:rPr>
              <w:t>57</w:t>
            </w:r>
            <w:r>
              <w:rPr>
                <w:b/>
                <w:color w:val="000000" w:themeColor="text1"/>
                <w:sz w:val="24"/>
                <w:szCs w:val="24"/>
              </w:rPr>
              <w:t>.</w:t>
            </w:r>
            <w:r w:rsidRPr="00DA223E">
              <w:rPr>
                <w:b/>
                <w:color w:val="000000" w:themeColor="text1"/>
                <w:sz w:val="24"/>
                <w:szCs w:val="24"/>
              </w:rPr>
              <w:t>05</w:t>
            </w:r>
            <w:r>
              <w:rPr>
                <w:b/>
                <w:color w:val="000000" w:themeColor="text1"/>
                <w:sz w:val="24"/>
                <w:szCs w:val="24"/>
              </w:rPr>
              <w:t>6</w:t>
            </w:r>
          </w:p>
        </w:tc>
        <w:tc>
          <w:tcPr>
            <w:tcW w:w="937" w:type="dxa"/>
            <w:shd w:val="clear" w:color="auto" w:fill="DEEAF6"/>
            <w:vAlign w:val="center"/>
          </w:tcPr>
          <w:p w14:paraId="30F49ED4" w14:textId="77777777" w:rsidR="00D9330B" w:rsidRDefault="00D9330B" w:rsidP="00286018">
            <w:pPr>
              <w:pStyle w:val="TableParagraph"/>
              <w:spacing w:line="227" w:lineRule="exact"/>
              <w:ind w:right="127"/>
              <w:jc w:val="right"/>
              <w:rPr>
                <w:b/>
                <w:sz w:val="20"/>
              </w:rPr>
            </w:pPr>
            <w:r w:rsidRPr="00DA223E">
              <w:rPr>
                <w:b/>
                <w:color w:val="000000" w:themeColor="text1"/>
                <w:sz w:val="24"/>
                <w:szCs w:val="24"/>
              </w:rPr>
              <w:t>93,19</w:t>
            </w:r>
          </w:p>
        </w:tc>
        <w:tc>
          <w:tcPr>
            <w:tcW w:w="1167" w:type="dxa"/>
            <w:shd w:val="clear" w:color="auto" w:fill="DEEAF6"/>
            <w:vAlign w:val="center"/>
          </w:tcPr>
          <w:p w14:paraId="337E048E" w14:textId="77777777" w:rsidR="00D9330B" w:rsidRDefault="00D9330B" w:rsidP="00286018">
            <w:pPr>
              <w:pStyle w:val="TableParagraph"/>
              <w:spacing w:line="227" w:lineRule="exact"/>
              <w:ind w:left="92" w:right="92"/>
              <w:rPr>
                <w:b/>
                <w:sz w:val="20"/>
              </w:rPr>
            </w:pPr>
            <w:r w:rsidRPr="00DA223E">
              <w:rPr>
                <w:b/>
                <w:color w:val="000000" w:themeColor="text1"/>
                <w:sz w:val="24"/>
                <w:szCs w:val="24"/>
              </w:rPr>
              <w:t>824.694</w:t>
            </w:r>
          </w:p>
        </w:tc>
        <w:tc>
          <w:tcPr>
            <w:tcW w:w="995" w:type="dxa"/>
            <w:shd w:val="clear" w:color="auto" w:fill="DEEAF6"/>
            <w:vAlign w:val="center"/>
          </w:tcPr>
          <w:p w14:paraId="048197C0" w14:textId="77777777" w:rsidR="00D9330B" w:rsidRDefault="00D9330B" w:rsidP="00286018">
            <w:pPr>
              <w:pStyle w:val="TableParagraph"/>
              <w:spacing w:line="227" w:lineRule="exact"/>
              <w:ind w:left="90" w:right="90"/>
              <w:rPr>
                <w:b/>
                <w:sz w:val="20"/>
              </w:rPr>
            </w:pPr>
            <w:r w:rsidRPr="00DA223E">
              <w:rPr>
                <w:b/>
                <w:color w:val="000000" w:themeColor="text1"/>
                <w:sz w:val="24"/>
                <w:szCs w:val="24"/>
              </w:rPr>
              <w:t>753.461</w:t>
            </w:r>
          </w:p>
        </w:tc>
        <w:tc>
          <w:tcPr>
            <w:tcW w:w="867" w:type="dxa"/>
            <w:shd w:val="clear" w:color="auto" w:fill="DEEAF6"/>
            <w:vAlign w:val="center"/>
          </w:tcPr>
          <w:p w14:paraId="7AA76442" w14:textId="77777777" w:rsidR="00D9330B" w:rsidRDefault="00D9330B" w:rsidP="00286018">
            <w:pPr>
              <w:pStyle w:val="TableParagraph"/>
              <w:spacing w:line="227" w:lineRule="exact"/>
              <w:ind w:right="91"/>
              <w:jc w:val="right"/>
              <w:rPr>
                <w:b/>
                <w:sz w:val="20"/>
              </w:rPr>
            </w:pPr>
            <w:r w:rsidRPr="00DA223E">
              <w:rPr>
                <w:b/>
                <w:color w:val="000000" w:themeColor="text1"/>
                <w:sz w:val="24"/>
                <w:szCs w:val="24"/>
              </w:rPr>
              <w:t>71.233</w:t>
            </w:r>
          </w:p>
        </w:tc>
        <w:tc>
          <w:tcPr>
            <w:tcW w:w="937" w:type="dxa"/>
            <w:shd w:val="clear" w:color="auto" w:fill="DEEAF6"/>
            <w:vAlign w:val="center"/>
          </w:tcPr>
          <w:p w14:paraId="02BE2B12" w14:textId="77777777" w:rsidR="00D9330B" w:rsidRDefault="00D9330B" w:rsidP="00286018">
            <w:pPr>
              <w:pStyle w:val="TableParagraph"/>
              <w:spacing w:line="227" w:lineRule="exact"/>
              <w:ind w:left="87" w:right="89"/>
              <w:rPr>
                <w:b/>
                <w:sz w:val="20"/>
              </w:rPr>
            </w:pPr>
            <w:r w:rsidRPr="00DA223E">
              <w:rPr>
                <w:b/>
                <w:color w:val="000000" w:themeColor="text1"/>
                <w:sz w:val="24"/>
                <w:szCs w:val="24"/>
              </w:rPr>
              <w:t>91,36</w:t>
            </w:r>
          </w:p>
        </w:tc>
      </w:tr>
    </w:tbl>
    <w:p w14:paraId="5AD83C20" w14:textId="77777777" w:rsidR="00D9330B" w:rsidRDefault="00D9330B" w:rsidP="00D9330B">
      <w:pPr>
        <w:pStyle w:val="GvdeMetni"/>
        <w:spacing w:before="7"/>
        <w:rPr>
          <w:b/>
          <w:sz w:val="28"/>
        </w:rPr>
      </w:pPr>
    </w:p>
    <w:p w14:paraId="34878805" w14:textId="77777777" w:rsidR="00D9330B" w:rsidRDefault="00D9330B" w:rsidP="00D9330B">
      <w:pPr>
        <w:pStyle w:val="GvdeMetni"/>
        <w:spacing w:before="90" w:line="360" w:lineRule="auto"/>
        <w:ind w:left="178" w:right="324" w:firstLine="707"/>
        <w:jc w:val="both"/>
      </w:pPr>
      <w:r>
        <w:t xml:space="preserve">Yukarıdaki tablo analiz edildiğinde açıkça görülen husus; 2020 senesinde, 2019 senesine göre devlet üniversitelerinde, vakıf üniversitelerinde, KKTC üniversitelerinde, hatta diğer ülkelerdeki programlarda bile, yani her kategoride dolulukların artmış olmasıdır. Bu başarı, kontenjanın azaltılmış olması ile de izah edilemez. Zira devlet ve vakıf üniversitelerinde kontenjanlar artmıştır. Bu başarının diğer bir sağlaması ise Devlet, Vakıf, KKTC tüm kategorilerde yerleşen sayısının da artmış olmasıdır. </w:t>
      </w:r>
      <w:r w:rsidRPr="009D5549">
        <w:rPr>
          <w:b/>
          <w:bCs/>
        </w:rPr>
        <w:t>Yani doluluklar artarken aynı zamanda yerleşme sayısında da artış görülmektedir.</w:t>
      </w:r>
      <w:r>
        <w:t xml:space="preserve"> Bu tablo, uzun yıllardır görülmeyen ve özlenen bir tablodur. </w:t>
      </w:r>
    </w:p>
    <w:p w14:paraId="4E79ECFA" w14:textId="77777777" w:rsidR="00D9330B" w:rsidRDefault="00D9330B" w:rsidP="00D9330B">
      <w:pPr>
        <w:pStyle w:val="GvdeMetni"/>
        <w:spacing w:before="90" w:line="360" w:lineRule="auto"/>
        <w:ind w:left="178" w:right="324" w:firstLine="707"/>
        <w:jc w:val="both"/>
      </w:pPr>
      <w:r>
        <w:t xml:space="preserve">Dolayısıyla konuya hangi açıdan yaklaşılırsa yaklaşılsın her yıl daha da artan bariz bir başarının ve açık bir iyileşmenin olduğu görülmektedir. </w:t>
      </w:r>
    </w:p>
    <w:p w14:paraId="3684FF66" w14:textId="77777777" w:rsidR="00D9330B" w:rsidRDefault="00D9330B" w:rsidP="00D9330B">
      <w:pPr>
        <w:pStyle w:val="GvdeMetni"/>
        <w:spacing w:before="90" w:line="360" w:lineRule="auto"/>
        <w:ind w:left="178" w:right="324" w:firstLine="707"/>
        <w:jc w:val="both"/>
      </w:pPr>
      <w:r>
        <w:t xml:space="preserve">Yine bu tablodan şu sonuç da çıkmaktadır: Boş kontenjan sayılarında Devlet, Vakıf, KKTC’deki üniversiteler olmak üzere </w:t>
      </w:r>
      <w:proofErr w:type="spellStart"/>
      <w:r>
        <w:t>tüm</w:t>
      </w:r>
      <w:proofErr w:type="spellEnd"/>
      <w:r>
        <w:t xml:space="preserve"> </w:t>
      </w:r>
      <w:proofErr w:type="spellStart"/>
      <w:r>
        <w:t>üniversite</w:t>
      </w:r>
      <w:proofErr w:type="spellEnd"/>
      <w:r>
        <w:t xml:space="preserve"> </w:t>
      </w:r>
      <w:proofErr w:type="spellStart"/>
      <w:r>
        <w:t>türlerinde</w:t>
      </w:r>
      <w:proofErr w:type="spellEnd"/>
      <w:r>
        <w:t xml:space="preserve"> </w:t>
      </w:r>
      <w:proofErr w:type="spellStart"/>
      <w:r>
        <w:t>iyileşme</w:t>
      </w:r>
      <w:proofErr w:type="spellEnd"/>
      <w:r>
        <w:t xml:space="preserve"> görülmekle </w:t>
      </w:r>
      <w:proofErr w:type="gramStart"/>
      <w:r>
        <w:t>birlikte  Devlet</w:t>
      </w:r>
      <w:proofErr w:type="gramEnd"/>
      <w:r>
        <w:t xml:space="preserve"> </w:t>
      </w:r>
      <w:proofErr w:type="spellStart"/>
      <w:r>
        <w:t>üniversitelerindeki</w:t>
      </w:r>
      <w:proofErr w:type="spellEnd"/>
      <w:r>
        <w:t xml:space="preserve"> </w:t>
      </w:r>
      <w:proofErr w:type="spellStart"/>
      <w:r>
        <w:t>iyileşme</w:t>
      </w:r>
      <w:proofErr w:type="spellEnd"/>
      <w:r>
        <w:t xml:space="preserve"> oransal olarak çok daha anlamlı ve dikkat </w:t>
      </w:r>
      <w:proofErr w:type="spellStart"/>
      <w:r>
        <w:t>çekicidir</w:t>
      </w:r>
      <w:proofErr w:type="spellEnd"/>
      <w:r>
        <w:t xml:space="preserve">. 2019 yılında boş kalan kontenjanlarda devlet üniversitelerinin payı </w:t>
      </w:r>
      <w:r w:rsidRPr="00E63FBC">
        <w:rPr>
          <w:b/>
          <w:bCs/>
        </w:rPr>
        <w:t>%55,9</w:t>
      </w:r>
      <w:r>
        <w:t xml:space="preserve"> iken bu sene bu oran azalarak </w:t>
      </w:r>
      <w:r>
        <w:rPr>
          <w:b/>
        </w:rPr>
        <w:t xml:space="preserve">%48,8 </w:t>
      </w:r>
      <w:r>
        <w:t xml:space="preserve">olarak gerçekleşmiştir. Vakıf, KKTC ve diğer ülkelerdeki üniversitelerin 2019 yılında boş </w:t>
      </w:r>
      <w:r>
        <w:lastRenderedPageBreak/>
        <w:t xml:space="preserve">kalan kontenjanlardaki payı </w:t>
      </w:r>
      <w:r w:rsidRPr="0080619E">
        <w:rPr>
          <w:b/>
        </w:rPr>
        <w:t>%44,1</w:t>
      </w:r>
      <w:r>
        <w:t xml:space="preserve"> iken bu sene bu oran </w:t>
      </w:r>
      <w:r w:rsidRPr="0080619E">
        <w:rPr>
          <w:b/>
        </w:rPr>
        <w:t>%51,2</w:t>
      </w:r>
      <w:r>
        <w:rPr>
          <w:b/>
        </w:rPr>
        <w:t xml:space="preserve"> </w:t>
      </w:r>
      <w:r>
        <w:t>olmuştur. Dolayısıyla Devlet üniversitelerinde artık daha başarılı bir kontenjan planlaması yapılmaktadır.</w:t>
      </w:r>
    </w:p>
    <w:p w14:paraId="2746B7F5" w14:textId="77777777" w:rsidR="00D9330B" w:rsidRDefault="00D9330B" w:rsidP="00D9330B">
      <w:pPr>
        <w:pStyle w:val="GvdeMetni"/>
        <w:spacing w:before="90" w:line="360" w:lineRule="auto"/>
        <w:ind w:left="178" w:right="324" w:firstLine="707"/>
        <w:jc w:val="both"/>
      </w:pPr>
    </w:p>
    <w:p w14:paraId="5F0C0BEB" w14:textId="77777777" w:rsidR="00D9330B" w:rsidRDefault="00D9330B" w:rsidP="00D9330B">
      <w:pPr>
        <w:pStyle w:val="ListeParagraf"/>
        <w:widowControl/>
        <w:numPr>
          <w:ilvl w:val="0"/>
          <w:numId w:val="2"/>
        </w:numPr>
        <w:autoSpaceDE/>
        <w:autoSpaceDN/>
        <w:spacing w:after="160" w:line="259" w:lineRule="auto"/>
        <w:contextualSpacing/>
        <w:jc w:val="left"/>
      </w:pPr>
      <w:r w:rsidRPr="00F03AE5">
        <w:rPr>
          <w:b/>
          <w:bCs/>
          <w:sz w:val="24"/>
          <w:szCs w:val="24"/>
        </w:rPr>
        <w:t xml:space="preserve">Üniversite Türüne Göre </w:t>
      </w:r>
      <w:proofErr w:type="spellStart"/>
      <w:r>
        <w:rPr>
          <w:b/>
          <w:bCs/>
          <w:sz w:val="24"/>
          <w:szCs w:val="24"/>
        </w:rPr>
        <w:t>Önlisans</w:t>
      </w:r>
      <w:proofErr w:type="spellEnd"/>
      <w:r>
        <w:rPr>
          <w:b/>
          <w:bCs/>
          <w:sz w:val="24"/>
          <w:szCs w:val="24"/>
        </w:rPr>
        <w:t xml:space="preserve">, Lisans </w:t>
      </w:r>
      <w:r w:rsidRPr="00F03AE5">
        <w:rPr>
          <w:b/>
          <w:bCs/>
          <w:sz w:val="24"/>
          <w:szCs w:val="24"/>
        </w:rPr>
        <w:t>Kontenjan-Yerleşen-Boş Kontenjan</w:t>
      </w:r>
    </w:p>
    <w:tbl>
      <w:tblPr>
        <w:tblW w:w="10440" w:type="dxa"/>
        <w:tblInd w:w="-571" w:type="dxa"/>
        <w:tblCellMar>
          <w:left w:w="70" w:type="dxa"/>
          <w:right w:w="70" w:type="dxa"/>
        </w:tblCellMar>
        <w:tblLook w:val="04A0" w:firstRow="1" w:lastRow="0" w:firstColumn="1" w:lastColumn="0" w:noHBand="0" w:noVBand="1"/>
      </w:tblPr>
      <w:tblGrid>
        <w:gridCol w:w="1423"/>
        <w:gridCol w:w="1143"/>
        <w:gridCol w:w="170"/>
        <w:gridCol w:w="1056"/>
        <w:gridCol w:w="159"/>
        <w:gridCol w:w="1114"/>
        <w:gridCol w:w="191"/>
        <w:gridCol w:w="1058"/>
        <w:gridCol w:w="1143"/>
        <w:gridCol w:w="1037"/>
        <w:gridCol w:w="931"/>
        <w:gridCol w:w="1008"/>
        <w:gridCol w:w="7"/>
      </w:tblGrid>
      <w:tr w:rsidR="00D9330B" w:rsidRPr="00106886" w14:paraId="3F947927" w14:textId="77777777" w:rsidTr="00286018">
        <w:trPr>
          <w:gridAfter w:val="1"/>
          <w:wAfter w:w="7" w:type="dxa"/>
          <w:trHeight w:val="439"/>
        </w:trPr>
        <w:tc>
          <w:tcPr>
            <w:tcW w:w="1423" w:type="dxa"/>
            <w:vMerge w:val="restart"/>
            <w:tcBorders>
              <w:top w:val="single" w:sz="4" w:space="0" w:color="auto"/>
              <w:left w:val="single" w:sz="4" w:space="0" w:color="auto"/>
              <w:bottom w:val="single" w:sz="4" w:space="0" w:color="000000"/>
              <w:right w:val="single" w:sz="4" w:space="0" w:color="auto"/>
            </w:tcBorders>
            <w:shd w:val="clear" w:color="000000" w:fill="DCE6F1"/>
            <w:hideMark/>
          </w:tcPr>
          <w:p w14:paraId="6C320F02" w14:textId="77777777" w:rsidR="00D9330B" w:rsidRPr="00106886" w:rsidRDefault="00D9330B" w:rsidP="00286018">
            <w:pPr>
              <w:rPr>
                <w:b/>
                <w:bCs/>
                <w:color w:val="FF0000"/>
              </w:rPr>
            </w:pPr>
            <w:r w:rsidRPr="00106886">
              <w:rPr>
                <w:b/>
                <w:bCs/>
                <w:color w:val="FF0000"/>
              </w:rPr>
              <w:t> </w:t>
            </w:r>
          </w:p>
        </w:tc>
        <w:tc>
          <w:tcPr>
            <w:tcW w:w="4891" w:type="dxa"/>
            <w:gridSpan w:val="7"/>
            <w:tcBorders>
              <w:top w:val="single" w:sz="4" w:space="0" w:color="auto"/>
              <w:left w:val="nil"/>
              <w:bottom w:val="single" w:sz="4" w:space="0" w:color="auto"/>
              <w:right w:val="single" w:sz="4" w:space="0" w:color="000000"/>
            </w:tcBorders>
            <w:shd w:val="clear" w:color="000000" w:fill="DCE6F1"/>
            <w:noWrap/>
            <w:vAlign w:val="bottom"/>
            <w:hideMark/>
          </w:tcPr>
          <w:p w14:paraId="5776BB5B" w14:textId="77777777" w:rsidR="00D9330B" w:rsidRPr="00106886" w:rsidRDefault="00D9330B" w:rsidP="00286018">
            <w:pPr>
              <w:jc w:val="center"/>
              <w:rPr>
                <w:b/>
                <w:bCs/>
                <w:color w:val="000000"/>
              </w:rPr>
            </w:pPr>
            <w:r w:rsidRPr="00106886">
              <w:rPr>
                <w:b/>
                <w:bCs/>
                <w:color w:val="000000"/>
              </w:rPr>
              <w:t>2020 Lisans</w:t>
            </w:r>
          </w:p>
        </w:tc>
        <w:tc>
          <w:tcPr>
            <w:tcW w:w="4119" w:type="dxa"/>
            <w:gridSpan w:val="4"/>
            <w:tcBorders>
              <w:top w:val="single" w:sz="4" w:space="0" w:color="auto"/>
              <w:left w:val="nil"/>
              <w:bottom w:val="single" w:sz="4" w:space="0" w:color="auto"/>
              <w:right w:val="single" w:sz="4" w:space="0" w:color="000000"/>
            </w:tcBorders>
            <w:shd w:val="clear" w:color="000000" w:fill="DCE6F1"/>
            <w:vAlign w:val="bottom"/>
          </w:tcPr>
          <w:p w14:paraId="00FE872D" w14:textId="77777777" w:rsidR="00D9330B" w:rsidRPr="00106886" w:rsidRDefault="00D9330B" w:rsidP="00286018">
            <w:pPr>
              <w:jc w:val="center"/>
              <w:rPr>
                <w:b/>
                <w:bCs/>
                <w:color w:val="000000"/>
              </w:rPr>
            </w:pPr>
            <w:r>
              <w:rPr>
                <w:b/>
                <w:bCs/>
                <w:color w:val="000000"/>
              </w:rPr>
              <w:t>2019 Lisans</w:t>
            </w:r>
          </w:p>
        </w:tc>
      </w:tr>
      <w:tr w:rsidR="00D9330B" w:rsidRPr="00106886" w14:paraId="6402F404" w14:textId="77777777" w:rsidTr="00286018">
        <w:trPr>
          <w:gridAfter w:val="1"/>
          <w:wAfter w:w="7" w:type="dxa"/>
          <w:trHeight w:val="383"/>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3DF8A2AA" w14:textId="77777777" w:rsidR="00D9330B" w:rsidRPr="00106886" w:rsidRDefault="00D9330B" w:rsidP="00286018">
            <w:pPr>
              <w:rPr>
                <w:b/>
                <w:bCs/>
                <w:color w:val="FF0000"/>
              </w:rPr>
            </w:pPr>
          </w:p>
        </w:tc>
        <w:tc>
          <w:tcPr>
            <w:tcW w:w="1143" w:type="dxa"/>
            <w:tcBorders>
              <w:top w:val="nil"/>
              <w:left w:val="nil"/>
              <w:bottom w:val="single" w:sz="4" w:space="0" w:color="auto"/>
              <w:right w:val="single" w:sz="4" w:space="0" w:color="auto"/>
            </w:tcBorders>
            <w:shd w:val="clear" w:color="000000" w:fill="DCE6F1"/>
            <w:noWrap/>
            <w:vAlign w:val="bottom"/>
            <w:hideMark/>
          </w:tcPr>
          <w:p w14:paraId="06851C5E" w14:textId="77777777" w:rsidR="00D9330B" w:rsidRPr="00106886" w:rsidRDefault="00D9330B" w:rsidP="00286018">
            <w:pPr>
              <w:jc w:val="center"/>
              <w:rPr>
                <w:b/>
                <w:bCs/>
                <w:color w:val="000000"/>
              </w:rPr>
            </w:pPr>
            <w:r w:rsidRPr="00106886">
              <w:rPr>
                <w:b/>
                <w:bCs/>
                <w:color w:val="000000"/>
              </w:rPr>
              <w:t>Kontenjan</w:t>
            </w:r>
          </w:p>
        </w:tc>
        <w:tc>
          <w:tcPr>
            <w:tcW w:w="1385" w:type="dxa"/>
            <w:gridSpan w:val="3"/>
            <w:tcBorders>
              <w:top w:val="nil"/>
              <w:left w:val="nil"/>
              <w:bottom w:val="single" w:sz="4" w:space="0" w:color="auto"/>
              <w:right w:val="single" w:sz="4" w:space="0" w:color="auto"/>
            </w:tcBorders>
            <w:shd w:val="clear" w:color="000000" w:fill="DCE6F1"/>
            <w:noWrap/>
            <w:vAlign w:val="bottom"/>
            <w:hideMark/>
          </w:tcPr>
          <w:p w14:paraId="3B9DF600" w14:textId="77777777" w:rsidR="00D9330B" w:rsidRPr="00106886" w:rsidRDefault="00D9330B" w:rsidP="00286018">
            <w:pPr>
              <w:jc w:val="center"/>
              <w:rPr>
                <w:b/>
                <w:bCs/>
                <w:color w:val="000000"/>
              </w:rPr>
            </w:pPr>
            <w:r w:rsidRPr="00106886">
              <w:rPr>
                <w:b/>
                <w:bCs/>
                <w:color w:val="000000"/>
              </w:rPr>
              <w:t>Yerleşen</w:t>
            </w:r>
          </w:p>
        </w:tc>
        <w:tc>
          <w:tcPr>
            <w:tcW w:w="1114" w:type="dxa"/>
            <w:tcBorders>
              <w:top w:val="nil"/>
              <w:left w:val="nil"/>
              <w:bottom w:val="single" w:sz="4" w:space="0" w:color="auto"/>
              <w:right w:val="single" w:sz="4" w:space="0" w:color="auto"/>
            </w:tcBorders>
            <w:shd w:val="clear" w:color="000000" w:fill="DCE6F1"/>
            <w:noWrap/>
            <w:vAlign w:val="bottom"/>
            <w:hideMark/>
          </w:tcPr>
          <w:p w14:paraId="35F32C27" w14:textId="77777777" w:rsidR="00D9330B" w:rsidRPr="00106886" w:rsidRDefault="00D9330B" w:rsidP="00286018">
            <w:pPr>
              <w:jc w:val="center"/>
              <w:rPr>
                <w:b/>
                <w:bCs/>
                <w:color w:val="000000"/>
              </w:rPr>
            </w:pPr>
            <w:r w:rsidRPr="00106886">
              <w:rPr>
                <w:b/>
                <w:bCs/>
                <w:color w:val="000000"/>
              </w:rPr>
              <w:t>Boş</w:t>
            </w:r>
          </w:p>
        </w:tc>
        <w:tc>
          <w:tcPr>
            <w:tcW w:w="1249" w:type="dxa"/>
            <w:gridSpan w:val="2"/>
            <w:tcBorders>
              <w:top w:val="nil"/>
              <w:left w:val="nil"/>
              <w:bottom w:val="single" w:sz="4" w:space="0" w:color="auto"/>
              <w:right w:val="single" w:sz="4" w:space="0" w:color="auto"/>
            </w:tcBorders>
            <w:shd w:val="clear" w:color="000000" w:fill="DCE6F1"/>
            <w:noWrap/>
            <w:vAlign w:val="bottom"/>
            <w:hideMark/>
          </w:tcPr>
          <w:p w14:paraId="4CF198F4" w14:textId="77777777" w:rsidR="00D9330B" w:rsidRPr="00106886" w:rsidRDefault="00D9330B" w:rsidP="00286018">
            <w:pPr>
              <w:jc w:val="center"/>
              <w:rPr>
                <w:b/>
                <w:bCs/>
                <w:color w:val="000000"/>
              </w:rPr>
            </w:pPr>
            <w:r w:rsidRPr="00106886">
              <w:rPr>
                <w:b/>
                <w:bCs/>
                <w:color w:val="000000"/>
              </w:rPr>
              <w:t>Doluluk</w:t>
            </w:r>
          </w:p>
        </w:tc>
        <w:tc>
          <w:tcPr>
            <w:tcW w:w="1143" w:type="dxa"/>
            <w:tcBorders>
              <w:top w:val="nil"/>
              <w:left w:val="nil"/>
              <w:bottom w:val="single" w:sz="4" w:space="0" w:color="auto"/>
              <w:right w:val="single" w:sz="4" w:space="0" w:color="auto"/>
            </w:tcBorders>
            <w:shd w:val="clear" w:color="000000" w:fill="DCE6F1"/>
            <w:vAlign w:val="bottom"/>
          </w:tcPr>
          <w:p w14:paraId="6B8598BD" w14:textId="77777777" w:rsidR="00D9330B" w:rsidRPr="00106886" w:rsidRDefault="00D9330B" w:rsidP="00286018">
            <w:pPr>
              <w:jc w:val="center"/>
              <w:rPr>
                <w:b/>
                <w:bCs/>
                <w:color w:val="000000"/>
              </w:rPr>
            </w:pPr>
            <w:r w:rsidRPr="00106886">
              <w:rPr>
                <w:b/>
                <w:bCs/>
                <w:color w:val="000000"/>
              </w:rPr>
              <w:t>Kontenjan</w:t>
            </w:r>
          </w:p>
        </w:tc>
        <w:tc>
          <w:tcPr>
            <w:tcW w:w="1037" w:type="dxa"/>
            <w:tcBorders>
              <w:top w:val="nil"/>
              <w:left w:val="nil"/>
              <w:bottom w:val="single" w:sz="4" w:space="0" w:color="auto"/>
              <w:right w:val="single" w:sz="4" w:space="0" w:color="auto"/>
            </w:tcBorders>
            <w:shd w:val="clear" w:color="000000" w:fill="DCE6F1"/>
            <w:vAlign w:val="bottom"/>
          </w:tcPr>
          <w:p w14:paraId="7F416B2A" w14:textId="77777777" w:rsidR="00D9330B" w:rsidRPr="00106886" w:rsidRDefault="00D9330B" w:rsidP="00286018">
            <w:pPr>
              <w:jc w:val="center"/>
              <w:rPr>
                <w:b/>
                <w:bCs/>
                <w:color w:val="000000"/>
              </w:rPr>
            </w:pPr>
            <w:r w:rsidRPr="00106886">
              <w:rPr>
                <w:b/>
                <w:bCs/>
                <w:color w:val="000000"/>
              </w:rPr>
              <w:t>Yerleşen</w:t>
            </w:r>
          </w:p>
        </w:tc>
        <w:tc>
          <w:tcPr>
            <w:tcW w:w="931" w:type="dxa"/>
            <w:tcBorders>
              <w:top w:val="nil"/>
              <w:left w:val="nil"/>
              <w:bottom w:val="single" w:sz="4" w:space="0" w:color="auto"/>
              <w:right w:val="single" w:sz="4" w:space="0" w:color="auto"/>
            </w:tcBorders>
            <w:shd w:val="clear" w:color="000000" w:fill="DCE6F1"/>
            <w:vAlign w:val="bottom"/>
          </w:tcPr>
          <w:p w14:paraId="0BB928AA" w14:textId="77777777" w:rsidR="00D9330B" w:rsidRPr="00106886" w:rsidRDefault="00D9330B" w:rsidP="00286018">
            <w:pPr>
              <w:jc w:val="center"/>
              <w:rPr>
                <w:b/>
                <w:bCs/>
                <w:color w:val="000000"/>
              </w:rPr>
            </w:pPr>
            <w:r w:rsidRPr="00106886">
              <w:rPr>
                <w:b/>
                <w:bCs/>
                <w:color w:val="000000"/>
              </w:rPr>
              <w:t>Boş</w:t>
            </w:r>
          </w:p>
        </w:tc>
        <w:tc>
          <w:tcPr>
            <w:tcW w:w="1008" w:type="dxa"/>
            <w:tcBorders>
              <w:top w:val="nil"/>
              <w:left w:val="nil"/>
              <w:bottom w:val="single" w:sz="4" w:space="0" w:color="auto"/>
              <w:right w:val="single" w:sz="4" w:space="0" w:color="auto"/>
            </w:tcBorders>
            <w:shd w:val="clear" w:color="000000" w:fill="DCE6F1"/>
            <w:vAlign w:val="bottom"/>
          </w:tcPr>
          <w:p w14:paraId="5959C5B7" w14:textId="77777777" w:rsidR="00D9330B" w:rsidRPr="00106886" w:rsidRDefault="00D9330B" w:rsidP="00286018">
            <w:pPr>
              <w:jc w:val="center"/>
              <w:rPr>
                <w:b/>
                <w:bCs/>
                <w:color w:val="000000"/>
              </w:rPr>
            </w:pPr>
            <w:r w:rsidRPr="00106886">
              <w:rPr>
                <w:b/>
                <w:bCs/>
                <w:color w:val="000000"/>
              </w:rPr>
              <w:t>Doluluk</w:t>
            </w:r>
          </w:p>
        </w:tc>
      </w:tr>
      <w:tr w:rsidR="00D9330B" w:rsidRPr="00106886" w14:paraId="30B29AE6" w14:textId="77777777" w:rsidTr="00286018">
        <w:trPr>
          <w:gridAfter w:val="1"/>
          <w:wAfter w:w="7" w:type="dxa"/>
          <w:trHeight w:val="240"/>
        </w:trPr>
        <w:tc>
          <w:tcPr>
            <w:tcW w:w="1423" w:type="dxa"/>
            <w:tcBorders>
              <w:top w:val="nil"/>
              <w:left w:val="single" w:sz="4" w:space="0" w:color="auto"/>
              <w:bottom w:val="single" w:sz="4" w:space="0" w:color="auto"/>
              <w:right w:val="single" w:sz="4" w:space="0" w:color="auto"/>
            </w:tcBorders>
            <w:shd w:val="clear" w:color="000000" w:fill="DCE6F1"/>
            <w:noWrap/>
            <w:vAlign w:val="bottom"/>
            <w:hideMark/>
          </w:tcPr>
          <w:p w14:paraId="605824ED" w14:textId="77777777" w:rsidR="00D9330B" w:rsidRPr="00106886" w:rsidRDefault="00D9330B" w:rsidP="00286018">
            <w:pPr>
              <w:rPr>
                <w:b/>
                <w:bCs/>
                <w:color w:val="000000"/>
              </w:rPr>
            </w:pPr>
            <w:r w:rsidRPr="00106886">
              <w:rPr>
                <w:b/>
                <w:bCs/>
                <w:color w:val="000000"/>
              </w:rPr>
              <w:t>Devlet Üniversiteleri</w:t>
            </w:r>
          </w:p>
        </w:tc>
        <w:tc>
          <w:tcPr>
            <w:tcW w:w="1143" w:type="dxa"/>
            <w:tcBorders>
              <w:top w:val="nil"/>
              <w:left w:val="nil"/>
              <w:bottom w:val="single" w:sz="4" w:space="0" w:color="auto"/>
              <w:right w:val="single" w:sz="4" w:space="0" w:color="auto"/>
            </w:tcBorders>
            <w:shd w:val="clear" w:color="auto" w:fill="auto"/>
            <w:noWrap/>
            <w:vAlign w:val="bottom"/>
            <w:hideMark/>
          </w:tcPr>
          <w:p w14:paraId="308D9262" w14:textId="77777777" w:rsidR="00D9330B" w:rsidRPr="00106886" w:rsidRDefault="00D9330B" w:rsidP="00286018">
            <w:pPr>
              <w:jc w:val="center"/>
              <w:rPr>
                <w:color w:val="000000" w:themeColor="text1"/>
              </w:rPr>
            </w:pPr>
            <w:r w:rsidRPr="00106886">
              <w:rPr>
                <w:color w:val="000000" w:themeColor="text1"/>
              </w:rPr>
              <w:t>358.836</w:t>
            </w:r>
          </w:p>
        </w:tc>
        <w:tc>
          <w:tcPr>
            <w:tcW w:w="1385" w:type="dxa"/>
            <w:gridSpan w:val="3"/>
            <w:tcBorders>
              <w:top w:val="nil"/>
              <w:left w:val="nil"/>
              <w:bottom w:val="single" w:sz="4" w:space="0" w:color="auto"/>
              <w:right w:val="single" w:sz="4" w:space="0" w:color="auto"/>
            </w:tcBorders>
            <w:shd w:val="clear" w:color="auto" w:fill="auto"/>
            <w:noWrap/>
            <w:vAlign w:val="bottom"/>
            <w:hideMark/>
          </w:tcPr>
          <w:p w14:paraId="42357DDD" w14:textId="77777777" w:rsidR="00D9330B" w:rsidRPr="00106886" w:rsidRDefault="00D9330B" w:rsidP="00286018">
            <w:pPr>
              <w:jc w:val="center"/>
              <w:rPr>
                <w:color w:val="000000" w:themeColor="text1"/>
              </w:rPr>
            </w:pPr>
            <w:r w:rsidRPr="00106886">
              <w:rPr>
                <w:color w:val="000000" w:themeColor="text1"/>
              </w:rPr>
              <w:t>347</w:t>
            </w:r>
            <w:r>
              <w:t>.</w:t>
            </w:r>
            <w:r w:rsidRPr="00106886">
              <w:rPr>
                <w:color w:val="000000" w:themeColor="text1"/>
              </w:rPr>
              <w:t>087</w:t>
            </w:r>
          </w:p>
        </w:tc>
        <w:tc>
          <w:tcPr>
            <w:tcW w:w="1114" w:type="dxa"/>
            <w:tcBorders>
              <w:top w:val="nil"/>
              <w:left w:val="nil"/>
              <w:bottom w:val="single" w:sz="4" w:space="0" w:color="auto"/>
              <w:right w:val="single" w:sz="4" w:space="0" w:color="auto"/>
            </w:tcBorders>
            <w:shd w:val="clear" w:color="auto" w:fill="auto"/>
            <w:noWrap/>
            <w:vAlign w:val="bottom"/>
            <w:hideMark/>
          </w:tcPr>
          <w:p w14:paraId="192A4CF9" w14:textId="77777777" w:rsidR="00D9330B" w:rsidRPr="00106886" w:rsidRDefault="00D9330B" w:rsidP="00286018">
            <w:pPr>
              <w:jc w:val="center"/>
              <w:rPr>
                <w:color w:val="000000" w:themeColor="text1"/>
              </w:rPr>
            </w:pPr>
            <w:r w:rsidRPr="00106886">
              <w:rPr>
                <w:color w:val="000000" w:themeColor="text1"/>
              </w:rPr>
              <w:t>11</w:t>
            </w:r>
            <w:r>
              <w:rPr>
                <w:color w:val="000000" w:themeColor="text1"/>
              </w:rPr>
              <w:t>.</w:t>
            </w:r>
            <w:r w:rsidRPr="00106886">
              <w:rPr>
                <w:color w:val="000000" w:themeColor="text1"/>
              </w:rPr>
              <w:t>749</w:t>
            </w:r>
          </w:p>
        </w:tc>
        <w:tc>
          <w:tcPr>
            <w:tcW w:w="1249" w:type="dxa"/>
            <w:gridSpan w:val="2"/>
            <w:tcBorders>
              <w:top w:val="nil"/>
              <w:left w:val="nil"/>
              <w:bottom w:val="single" w:sz="4" w:space="0" w:color="auto"/>
              <w:right w:val="single" w:sz="4" w:space="0" w:color="auto"/>
            </w:tcBorders>
            <w:shd w:val="clear" w:color="auto" w:fill="auto"/>
            <w:noWrap/>
            <w:vAlign w:val="bottom"/>
            <w:hideMark/>
          </w:tcPr>
          <w:p w14:paraId="06D79D17" w14:textId="77777777" w:rsidR="00D9330B" w:rsidRPr="00106886" w:rsidRDefault="00D9330B" w:rsidP="00286018">
            <w:pPr>
              <w:jc w:val="center"/>
              <w:rPr>
                <w:color w:val="000000" w:themeColor="text1"/>
              </w:rPr>
            </w:pPr>
            <w:r w:rsidRPr="00106886">
              <w:rPr>
                <w:color w:val="000000" w:themeColor="text1"/>
              </w:rPr>
              <w:t>96,73</w:t>
            </w:r>
          </w:p>
        </w:tc>
        <w:tc>
          <w:tcPr>
            <w:tcW w:w="1143" w:type="dxa"/>
            <w:tcBorders>
              <w:top w:val="nil"/>
              <w:left w:val="nil"/>
              <w:bottom w:val="single" w:sz="4" w:space="0" w:color="auto"/>
              <w:right w:val="single" w:sz="4" w:space="0" w:color="auto"/>
            </w:tcBorders>
            <w:vAlign w:val="bottom"/>
          </w:tcPr>
          <w:p w14:paraId="18B22A6A" w14:textId="77777777" w:rsidR="00D9330B" w:rsidRPr="00106886" w:rsidRDefault="00D9330B" w:rsidP="00286018">
            <w:pPr>
              <w:jc w:val="center"/>
              <w:rPr>
                <w:color w:val="000000" w:themeColor="text1"/>
              </w:rPr>
            </w:pPr>
            <w:r>
              <w:rPr>
                <w:color w:val="000000" w:themeColor="text1"/>
              </w:rPr>
              <w:t>354.985</w:t>
            </w:r>
          </w:p>
        </w:tc>
        <w:tc>
          <w:tcPr>
            <w:tcW w:w="1037" w:type="dxa"/>
            <w:tcBorders>
              <w:top w:val="nil"/>
              <w:left w:val="nil"/>
              <w:bottom w:val="single" w:sz="4" w:space="0" w:color="auto"/>
              <w:right w:val="single" w:sz="4" w:space="0" w:color="auto"/>
            </w:tcBorders>
            <w:vAlign w:val="bottom"/>
          </w:tcPr>
          <w:p w14:paraId="0611DAAF" w14:textId="77777777" w:rsidR="00D9330B" w:rsidRPr="00106886" w:rsidRDefault="00D9330B" w:rsidP="00286018">
            <w:pPr>
              <w:jc w:val="center"/>
              <w:rPr>
                <w:color w:val="000000" w:themeColor="text1"/>
              </w:rPr>
            </w:pPr>
            <w:r>
              <w:rPr>
                <w:color w:val="000000" w:themeColor="text1"/>
              </w:rPr>
              <w:t>334.119</w:t>
            </w:r>
          </w:p>
        </w:tc>
        <w:tc>
          <w:tcPr>
            <w:tcW w:w="931" w:type="dxa"/>
            <w:tcBorders>
              <w:top w:val="nil"/>
              <w:left w:val="nil"/>
              <w:bottom w:val="single" w:sz="4" w:space="0" w:color="auto"/>
              <w:right w:val="single" w:sz="4" w:space="0" w:color="auto"/>
            </w:tcBorders>
            <w:vAlign w:val="bottom"/>
          </w:tcPr>
          <w:p w14:paraId="75FF2B8F" w14:textId="77777777" w:rsidR="00D9330B" w:rsidRPr="00106886" w:rsidRDefault="00D9330B" w:rsidP="00286018">
            <w:pPr>
              <w:jc w:val="center"/>
              <w:rPr>
                <w:color w:val="000000" w:themeColor="text1"/>
              </w:rPr>
            </w:pPr>
            <w:r>
              <w:rPr>
                <w:color w:val="000000" w:themeColor="text1"/>
              </w:rPr>
              <w:t>20.866</w:t>
            </w:r>
          </w:p>
        </w:tc>
        <w:tc>
          <w:tcPr>
            <w:tcW w:w="1008" w:type="dxa"/>
            <w:tcBorders>
              <w:top w:val="nil"/>
              <w:left w:val="nil"/>
              <w:bottom w:val="single" w:sz="4" w:space="0" w:color="auto"/>
              <w:right w:val="single" w:sz="4" w:space="0" w:color="auto"/>
            </w:tcBorders>
            <w:vAlign w:val="bottom"/>
          </w:tcPr>
          <w:p w14:paraId="593711CC" w14:textId="77777777" w:rsidR="00D9330B" w:rsidRPr="00106886" w:rsidRDefault="00D9330B" w:rsidP="00286018">
            <w:pPr>
              <w:jc w:val="center"/>
              <w:rPr>
                <w:color w:val="000000" w:themeColor="text1"/>
              </w:rPr>
            </w:pPr>
            <w:r>
              <w:rPr>
                <w:color w:val="000000" w:themeColor="text1"/>
              </w:rPr>
              <w:t>94,12</w:t>
            </w:r>
          </w:p>
        </w:tc>
      </w:tr>
      <w:tr w:rsidR="00D9330B" w:rsidRPr="00106886" w14:paraId="55745F28" w14:textId="77777777" w:rsidTr="00286018">
        <w:trPr>
          <w:gridAfter w:val="1"/>
          <w:wAfter w:w="7" w:type="dxa"/>
          <w:trHeight w:val="240"/>
        </w:trPr>
        <w:tc>
          <w:tcPr>
            <w:tcW w:w="1423" w:type="dxa"/>
            <w:tcBorders>
              <w:top w:val="nil"/>
              <w:left w:val="single" w:sz="4" w:space="0" w:color="auto"/>
              <w:bottom w:val="single" w:sz="4" w:space="0" w:color="auto"/>
              <w:right w:val="single" w:sz="4" w:space="0" w:color="auto"/>
            </w:tcBorders>
            <w:shd w:val="clear" w:color="000000" w:fill="DCE6F1"/>
            <w:noWrap/>
            <w:vAlign w:val="bottom"/>
            <w:hideMark/>
          </w:tcPr>
          <w:p w14:paraId="4EED3096" w14:textId="77777777" w:rsidR="00D9330B" w:rsidRPr="00106886" w:rsidRDefault="00D9330B" w:rsidP="00286018">
            <w:pPr>
              <w:rPr>
                <w:b/>
                <w:bCs/>
                <w:color w:val="000000"/>
              </w:rPr>
            </w:pPr>
            <w:r w:rsidRPr="00106886">
              <w:rPr>
                <w:b/>
                <w:bCs/>
                <w:color w:val="000000"/>
              </w:rPr>
              <w:t>Vakıf Üniversiteleri</w:t>
            </w:r>
          </w:p>
        </w:tc>
        <w:tc>
          <w:tcPr>
            <w:tcW w:w="1143" w:type="dxa"/>
            <w:tcBorders>
              <w:top w:val="nil"/>
              <w:left w:val="nil"/>
              <w:bottom w:val="single" w:sz="4" w:space="0" w:color="auto"/>
              <w:right w:val="single" w:sz="4" w:space="0" w:color="auto"/>
            </w:tcBorders>
            <w:shd w:val="clear" w:color="auto" w:fill="auto"/>
            <w:noWrap/>
            <w:vAlign w:val="bottom"/>
            <w:hideMark/>
          </w:tcPr>
          <w:p w14:paraId="7C6DCBD2" w14:textId="77777777" w:rsidR="00D9330B" w:rsidRPr="00106886" w:rsidRDefault="00D9330B" w:rsidP="00286018">
            <w:pPr>
              <w:jc w:val="center"/>
              <w:rPr>
                <w:color w:val="000000" w:themeColor="text1"/>
              </w:rPr>
            </w:pPr>
            <w:r w:rsidRPr="00106886">
              <w:rPr>
                <w:color w:val="000000" w:themeColor="text1"/>
              </w:rPr>
              <w:t>87.908</w:t>
            </w:r>
          </w:p>
        </w:tc>
        <w:tc>
          <w:tcPr>
            <w:tcW w:w="1385" w:type="dxa"/>
            <w:gridSpan w:val="3"/>
            <w:tcBorders>
              <w:top w:val="nil"/>
              <w:left w:val="nil"/>
              <w:bottom w:val="single" w:sz="4" w:space="0" w:color="auto"/>
              <w:right w:val="single" w:sz="4" w:space="0" w:color="auto"/>
            </w:tcBorders>
            <w:shd w:val="clear" w:color="auto" w:fill="auto"/>
            <w:noWrap/>
            <w:vAlign w:val="bottom"/>
            <w:hideMark/>
          </w:tcPr>
          <w:p w14:paraId="1B31359F" w14:textId="77777777" w:rsidR="00D9330B" w:rsidRPr="00106886" w:rsidRDefault="00D9330B" w:rsidP="00286018">
            <w:pPr>
              <w:jc w:val="center"/>
              <w:rPr>
                <w:color w:val="000000" w:themeColor="text1"/>
              </w:rPr>
            </w:pPr>
            <w:r w:rsidRPr="00106886">
              <w:rPr>
                <w:color w:val="000000" w:themeColor="text1"/>
              </w:rPr>
              <w:t>77</w:t>
            </w:r>
            <w:r>
              <w:rPr>
                <w:color w:val="000000" w:themeColor="text1"/>
              </w:rPr>
              <w:t>.</w:t>
            </w:r>
            <w:r w:rsidRPr="00106886">
              <w:rPr>
                <w:color w:val="000000" w:themeColor="text1"/>
              </w:rPr>
              <w:t>330</w:t>
            </w:r>
          </w:p>
        </w:tc>
        <w:tc>
          <w:tcPr>
            <w:tcW w:w="1114" w:type="dxa"/>
            <w:tcBorders>
              <w:top w:val="nil"/>
              <w:left w:val="nil"/>
              <w:bottom w:val="single" w:sz="4" w:space="0" w:color="auto"/>
              <w:right w:val="single" w:sz="4" w:space="0" w:color="auto"/>
            </w:tcBorders>
            <w:shd w:val="clear" w:color="auto" w:fill="auto"/>
            <w:noWrap/>
            <w:vAlign w:val="bottom"/>
            <w:hideMark/>
          </w:tcPr>
          <w:p w14:paraId="49E2D1D4" w14:textId="77777777" w:rsidR="00D9330B" w:rsidRPr="00106886" w:rsidRDefault="00D9330B" w:rsidP="00286018">
            <w:pPr>
              <w:jc w:val="center"/>
              <w:rPr>
                <w:color w:val="000000" w:themeColor="text1"/>
              </w:rPr>
            </w:pPr>
            <w:r w:rsidRPr="00106886">
              <w:rPr>
                <w:color w:val="000000" w:themeColor="text1"/>
              </w:rPr>
              <w:t>10</w:t>
            </w:r>
            <w:r>
              <w:rPr>
                <w:color w:val="000000" w:themeColor="text1"/>
              </w:rPr>
              <w:t>.</w:t>
            </w:r>
            <w:r w:rsidRPr="00106886">
              <w:rPr>
                <w:color w:val="000000" w:themeColor="text1"/>
              </w:rPr>
              <w:t>578</w:t>
            </w:r>
          </w:p>
        </w:tc>
        <w:tc>
          <w:tcPr>
            <w:tcW w:w="1249" w:type="dxa"/>
            <w:gridSpan w:val="2"/>
            <w:tcBorders>
              <w:top w:val="nil"/>
              <w:left w:val="nil"/>
              <w:bottom w:val="single" w:sz="4" w:space="0" w:color="auto"/>
              <w:right w:val="single" w:sz="4" w:space="0" w:color="auto"/>
            </w:tcBorders>
            <w:shd w:val="clear" w:color="auto" w:fill="auto"/>
            <w:noWrap/>
            <w:vAlign w:val="bottom"/>
            <w:hideMark/>
          </w:tcPr>
          <w:p w14:paraId="1D988D48" w14:textId="77777777" w:rsidR="00D9330B" w:rsidRPr="00106886" w:rsidRDefault="00D9330B" w:rsidP="00286018">
            <w:pPr>
              <w:jc w:val="center"/>
              <w:rPr>
                <w:color w:val="000000" w:themeColor="text1"/>
              </w:rPr>
            </w:pPr>
            <w:r w:rsidRPr="00106886">
              <w:rPr>
                <w:color w:val="000000" w:themeColor="text1"/>
              </w:rPr>
              <w:t>87,97</w:t>
            </w:r>
          </w:p>
        </w:tc>
        <w:tc>
          <w:tcPr>
            <w:tcW w:w="1143" w:type="dxa"/>
            <w:tcBorders>
              <w:top w:val="nil"/>
              <w:left w:val="nil"/>
              <w:bottom w:val="single" w:sz="4" w:space="0" w:color="auto"/>
              <w:right w:val="single" w:sz="4" w:space="0" w:color="auto"/>
            </w:tcBorders>
            <w:vAlign w:val="bottom"/>
          </w:tcPr>
          <w:p w14:paraId="0070BFC7" w14:textId="77777777" w:rsidR="00D9330B" w:rsidRPr="00106886" w:rsidRDefault="00D9330B" w:rsidP="00286018">
            <w:pPr>
              <w:jc w:val="center"/>
              <w:rPr>
                <w:color w:val="000000" w:themeColor="text1"/>
              </w:rPr>
            </w:pPr>
            <w:r>
              <w:rPr>
                <w:color w:val="000000" w:themeColor="text1"/>
              </w:rPr>
              <w:t>81.526</w:t>
            </w:r>
          </w:p>
        </w:tc>
        <w:tc>
          <w:tcPr>
            <w:tcW w:w="1037" w:type="dxa"/>
            <w:tcBorders>
              <w:top w:val="nil"/>
              <w:left w:val="nil"/>
              <w:bottom w:val="single" w:sz="4" w:space="0" w:color="auto"/>
              <w:right w:val="single" w:sz="4" w:space="0" w:color="auto"/>
            </w:tcBorders>
            <w:vAlign w:val="bottom"/>
          </w:tcPr>
          <w:p w14:paraId="0079E6C0" w14:textId="77777777" w:rsidR="00D9330B" w:rsidRPr="00106886" w:rsidRDefault="00D9330B" w:rsidP="00286018">
            <w:pPr>
              <w:jc w:val="center"/>
              <w:rPr>
                <w:color w:val="000000" w:themeColor="text1"/>
              </w:rPr>
            </w:pPr>
            <w:r>
              <w:rPr>
                <w:color w:val="000000" w:themeColor="text1"/>
              </w:rPr>
              <w:t>68.962</w:t>
            </w:r>
          </w:p>
        </w:tc>
        <w:tc>
          <w:tcPr>
            <w:tcW w:w="931" w:type="dxa"/>
            <w:tcBorders>
              <w:top w:val="nil"/>
              <w:left w:val="nil"/>
              <w:bottom w:val="single" w:sz="4" w:space="0" w:color="auto"/>
              <w:right w:val="single" w:sz="4" w:space="0" w:color="auto"/>
            </w:tcBorders>
            <w:vAlign w:val="bottom"/>
          </w:tcPr>
          <w:p w14:paraId="5F9602BB" w14:textId="77777777" w:rsidR="00D9330B" w:rsidRPr="00106886" w:rsidRDefault="00D9330B" w:rsidP="00286018">
            <w:pPr>
              <w:jc w:val="center"/>
              <w:rPr>
                <w:color w:val="000000" w:themeColor="text1"/>
              </w:rPr>
            </w:pPr>
            <w:r>
              <w:rPr>
                <w:color w:val="000000" w:themeColor="text1"/>
              </w:rPr>
              <w:t>12.564</w:t>
            </w:r>
          </w:p>
        </w:tc>
        <w:tc>
          <w:tcPr>
            <w:tcW w:w="1008" w:type="dxa"/>
            <w:tcBorders>
              <w:top w:val="nil"/>
              <w:left w:val="nil"/>
              <w:bottom w:val="single" w:sz="4" w:space="0" w:color="auto"/>
              <w:right w:val="single" w:sz="4" w:space="0" w:color="auto"/>
            </w:tcBorders>
            <w:vAlign w:val="bottom"/>
          </w:tcPr>
          <w:p w14:paraId="18F3A101" w14:textId="77777777" w:rsidR="00D9330B" w:rsidRPr="00106886" w:rsidRDefault="00D9330B" w:rsidP="00286018">
            <w:pPr>
              <w:jc w:val="center"/>
              <w:rPr>
                <w:color w:val="000000" w:themeColor="text1"/>
              </w:rPr>
            </w:pPr>
            <w:r>
              <w:rPr>
                <w:color w:val="000000" w:themeColor="text1"/>
              </w:rPr>
              <w:t>84,58</w:t>
            </w:r>
          </w:p>
        </w:tc>
      </w:tr>
      <w:tr w:rsidR="00D9330B" w:rsidRPr="00106886" w14:paraId="24695ABE" w14:textId="77777777" w:rsidTr="00286018">
        <w:trPr>
          <w:gridAfter w:val="1"/>
          <w:wAfter w:w="7" w:type="dxa"/>
          <w:trHeight w:val="240"/>
        </w:trPr>
        <w:tc>
          <w:tcPr>
            <w:tcW w:w="1423" w:type="dxa"/>
            <w:tcBorders>
              <w:top w:val="nil"/>
              <w:left w:val="single" w:sz="4" w:space="0" w:color="auto"/>
              <w:bottom w:val="single" w:sz="4" w:space="0" w:color="auto"/>
              <w:right w:val="single" w:sz="4" w:space="0" w:color="auto"/>
            </w:tcBorders>
            <w:shd w:val="clear" w:color="000000" w:fill="DCE6F1"/>
            <w:noWrap/>
            <w:vAlign w:val="bottom"/>
            <w:hideMark/>
          </w:tcPr>
          <w:p w14:paraId="6C73596B" w14:textId="77777777" w:rsidR="00D9330B" w:rsidRPr="00106886" w:rsidRDefault="00D9330B" w:rsidP="00286018">
            <w:pPr>
              <w:rPr>
                <w:b/>
                <w:bCs/>
                <w:color w:val="000000"/>
              </w:rPr>
            </w:pPr>
            <w:r w:rsidRPr="00106886">
              <w:rPr>
                <w:b/>
                <w:bCs/>
                <w:color w:val="000000"/>
              </w:rPr>
              <w:t>KKTC Üniversiteleri</w:t>
            </w:r>
          </w:p>
        </w:tc>
        <w:tc>
          <w:tcPr>
            <w:tcW w:w="1143" w:type="dxa"/>
            <w:tcBorders>
              <w:top w:val="nil"/>
              <w:left w:val="nil"/>
              <w:bottom w:val="single" w:sz="4" w:space="0" w:color="auto"/>
              <w:right w:val="single" w:sz="4" w:space="0" w:color="auto"/>
            </w:tcBorders>
            <w:shd w:val="clear" w:color="auto" w:fill="auto"/>
            <w:noWrap/>
            <w:vAlign w:val="bottom"/>
            <w:hideMark/>
          </w:tcPr>
          <w:p w14:paraId="203A608C" w14:textId="77777777" w:rsidR="00D9330B" w:rsidRPr="00106886" w:rsidRDefault="00D9330B" w:rsidP="00286018">
            <w:pPr>
              <w:jc w:val="center"/>
              <w:rPr>
                <w:color w:val="000000" w:themeColor="text1"/>
              </w:rPr>
            </w:pPr>
            <w:r w:rsidRPr="00106886">
              <w:rPr>
                <w:color w:val="000000" w:themeColor="text1"/>
              </w:rPr>
              <w:t>10.295</w:t>
            </w:r>
          </w:p>
        </w:tc>
        <w:tc>
          <w:tcPr>
            <w:tcW w:w="1385" w:type="dxa"/>
            <w:gridSpan w:val="3"/>
            <w:tcBorders>
              <w:top w:val="nil"/>
              <w:left w:val="nil"/>
              <w:bottom w:val="single" w:sz="4" w:space="0" w:color="auto"/>
              <w:right w:val="single" w:sz="4" w:space="0" w:color="auto"/>
            </w:tcBorders>
            <w:shd w:val="clear" w:color="auto" w:fill="auto"/>
            <w:noWrap/>
            <w:vAlign w:val="bottom"/>
            <w:hideMark/>
          </w:tcPr>
          <w:p w14:paraId="7A96AC4E" w14:textId="77777777" w:rsidR="00D9330B" w:rsidRPr="00106886" w:rsidRDefault="00D9330B" w:rsidP="00286018">
            <w:pPr>
              <w:jc w:val="center"/>
              <w:rPr>
                <w:color w:val="000000" w:themeColor="text1"/>
              </w:rPr>
            </w:pPr>
            <w:r w:rsidRPr="00106886">
              <w:rPr>
                <w:color w:val="000000" w:themeColor="text1"/>
              </w:rPr>
              <w:t>6</w:t>
            </w:r>
            <w:r>
              <w:rPr>
                <w:color w:val="000000" w:themeColor="text1"/>
              </w:rPr>
              <w:t>.</w:t>
            </w:r>
            <w:r w:rsidRPr="00106886">
              <w:rPr>
                <w:color w:val="000000" w:themeColor="text1"/>
              </w:rPr>
              <w:t>445</w:t>
            </w:r>
          </w:p>
        </w:tc>
        <w:tc>
          <w:tcPr>
            <w:tcW w:w="1114" w:type="dxa"/>
            <w:tcBorders>
              <w:top w:val="nil"/>
              <w:left w:val="nil"/>
              <w:bottom w:val="single" w:sz="4" w:space="0" w:color="auto"/>
              <w:right w:val="single" w:sz="4" w:space="0" w:color="auto"/>
            </w:tcBorders>
            <w:shd w:val="clear" w:color="auto" w:fill="auto"/>
            <w:noWrap/>
            <w:vAlign w:val="bottom"/>
            <w:hideMark/>
          </w:tcPr>
          <w:p w14:paraId="015D1730" w14:textId="77777777" w:rsidR="00D9330B" w:rsidRPr="00106886" w:rsidRDefault="00D9330B" w:rsidP="00286018">
            <w:pPr>
              <w:jc w:val="center"/>
              <w:rPr>
                <w:color w:val="000000" w:themeColor="text1"/>
              </w:rPr>
            </w:pPr>
            <w:r w:rsidRPr="00106886">
              <w:rPr>
                <w:color w:val="000000" w:themeColor="text1"/>
              </w:rPr>
              <w:t>3</w:t>
            </w:r>
            <w:r>
              <w:rPr>
                <w:color w:val="000000" w:themeColor="text1"/>
              </w:rPr>
              <w:t>.</w:t>
            </w:r>
            <w:r w:rsidRPr="00106886">
              <w:rPr>
                <w:color w:val="000000" w:themeColor="text1"/>
              </w:rPr>
              <w:t>850</w:t>
            </w:r>
          </w:p>
        </w:tc>
        <w:tc>
          <w:tcPr>
            <w:tcW w:w="1249" w:type="dxa"/>
            <w:gridSpan w:val="2"/>
            <w:tcBorders>
              <w:top w:val="nil"/>
              <w:left w:val="nil"/>
              <w:bottom w:val="single" w:sz="4" w:space="0" w:color="auto"/>
              <w:right w:val="single" w:sz="4" w:space="0" w:color="auto"/>
            </w:tcBorders>
            <w:shd w:val="clear" w:color="auto" w:fill="auto"/>
            <w:noWrap/>
            <w:vAlign w:val="bottom"/>
            <w:hideMark/>
          </w:tcPr>
          <w:p w14:paraId="6B4F40CF" w14:textId="77777777" w:rsidR="00D9330B" w:rsidRPr="00106886" w:rsidRDefault="00D9330B" w:rsidP="00286018">
            <w:pPr>
              <w:jc w:val="center"/>
              <w:rPr>
                <w:color w:val="000000" w:themeColor="text1"/>
              </w:rPr>
            </w:pPr>
            <w:r w:rsidRPr="00106886">
              <w:rPr>
                <w:color w:val="000000" w:themeColor="text1"/>
              </w:rPr>
              <w:t>62,60</w:t>
            </w:r>
          </w:p>
        </w:tc>
        <w:tc>
          <w:tcPr>
            <w:tcW w:w="1143" w:type="dxa"/>
            <w:tcBorders>
              <w:top w:val="nil"/>
              <w:left w:val="nil"/>
              <w:bottom w:val="single" w:sz="4" w:space="0" w:color="auto"/>
              <w:right w:val="single" w:sz="4" w:space="0" w:color="auto"/>
            </w:tcBorders>
            <w:vAlign w:val="bottom"/>
          </w:tcPr>
          <w:p w14:paraId="5A764421" w14:textId="77777777" w:rsidR="00D9330B" w:rsidRPr="00106886" w:rsidRDefault="00D9330B" w:rsidP="00286018">
            <w:pPr>
              <w:jc w:val="center"/>
              <w:rPr>
                <w:color w:val="000000" w:themeColor="text1"/>
              </w:rPr>
            </w:pPr>
            <w:r>
              <w:rPr>
                <w:color w:val="000000" w:themeColor="text1"/>
              </w:rPr>
              <w:t>10.112</w:t>
            </w:r>
          </w:p>
        </w:tc>
        <w:tc>
          <w:tcPr>
            <w:tcW w:w="1037" w:type="dxa"/>
            <w:tcBorders>
              <w:top w:val="nil"/>
              <w:left w:val="nil"/>
              <w:bottom w:val="single" w:sz="4" w:space="0" w:color="auto"/>
              <w:right w:val="single" w:sz="4" w:space="0" w:color="auto"/>
            </w:tcBorders>
            <w:vAlign w:val="bottom"/>
          </w:tcPr>
          <w:p w14:paraId="06207FD5" w14:textId="77777777" w:rsidR="00D9330B" w:rsidRPr="00106886" w:rsidRDefault="00D9330B" w:rsidP="00286018">
            <w:pPr>
              <w:jc w:val="center"/>
              <w:rPr>
                <w:color w:val="000000" w:themeColor="text1"/>
              </w:rPr>
            </w:pPr>
            <w:r>
              <w:rPr>
                <w:color w:val="000000" w:themeColor="text1"/>
              </w:rPr>
              <w:t>5.992</w:t>
            </w:r>
          </w:p>
        </w:tc>
        <w:tc>
          <w:tcPr>
            <w:tcW w:w="931" w:type="dxa"/>
            <w:tcBorders>
              <w:top w:val="nil"/>
              <w:left w:val="nil"/>
              <w:bottom w:val="single" w:sz="4" w:space="0" w:color="auto"/>
              <w:right w:val="single" w:sz="4" w:space="0" w:color="auto"/>
            </w:tcBorders>
            <w:vAlign w:val="bottom"/>
          </w:tcPr>
          <w:p w14:paraId="27D4B9B0" w14:textId="77777777" w:rsidR="00D9330B" w:rsidRPr="00106886" w:rsidRDefault="00D9330B" w:rsidP="00286018">
            <w:pPr>
              <w:jc w:val="center"/>
              <w:rPr>
                <w:color w:val="000000" w:themeColor="text1"/>
              </w:rPr>
            </w:pPr>
            <w:r>
              <w:rPr>
                <w:color w:val="000000" w:themeColor="text1"/>
              </w:rPr>
              <w:t>4.120</w:t>
            </w:r>
          </w:p>
        </w:tc>
        <w:tc>
          <w:tcPr>
            <w:tcW w:w="1008" w:type="dxa"/>
            <w:tcBorders>
              <w:top w:val="nil"/>
              <w:left w:val="nil"/>
              <w:bottom w:val="single" w:sz="4" w:space="0" w:color="auto"/>
              <w:right w:val="single" w:sz="4" w:space="0" w:color="auto"/>
            </w:tcBorders>
            <w:vAlign w:val="bottom"/>
          </w:tcPr>
          <w:p w14:paraId="26E46E54" w14:textId="77777777" w:rsidR="00D9330B" w:rsidRPr="00106886" w:rsidRDefault="00D9330B" w:rsidP="00286018">
            <w:pPr>
              <w:jc w:val="center"/>
              <w:rPr>
                <w:color w:val="000000" w:themeColor="text1"/>
              </w:rPr>
            </w:pPr>
            <w:r>
              <w:rPr>
                <w:color w:val="000000" w:themeColor="text1"/>
              </w:rPr>
              <w:t>59,25</w:t>
            </w:r>
          </w:p>
        </w:tc>
      </w:tr>
      <w:tr w:rsidR="00D9330B" w:rsidRPr="00106886" w14:paraId="05171D0F" w14:textId="77777777" w:rsidTr="00286018">
        <w:trPr>
          <w:gridAfter w:val="1"/>
          <w:wAfter w:w="7" w:type="dxa"/>
          <w:trHeight w:val="240"/>
        </w:trPr>
        <w:tc>
          <w:tcPr>
            <w:tcW w:w="1423" w:type="dxa"/>
            <w:tcBorders>
              <w:top w:val="nil"/>
              <w:left w:val="single" w:sz="4" w:space="0" w:color="auto"/>
              <w:bottom w:val="single" w:sz="4" w:space="0" w:color="auto"/>
              <w:right w:val="single" w:sz="4" w:space="0" w:color="auto"/>
            </w:tcBorders>
            <w:shd w:val="clear" w:color="000000" w:fill="DCE6F1"/>
            <w:noWrap/>
            <w:vAlign w:val="bottom"/>
            <w:hideMark/>
          </w:tcPr>
          <w:p w14:paraId="78CAF6C6" w14:textId="77777777" w:rsidR="00D9330B" w:rsidRPr="00106886" w:rsidRDefault="00D9330B" w:rsidP="00286018">
            <w:pPr>
              <w:rPr>
                <w:b/>
                <w:bCs/>
                <w:color w:val="000000"/>
              </w:rPr>
            </w:pPr>
            <w:r w:rsidRPr="00106886">
              <w:rPr>
                <w:b/>
                <w:bCs/>
                <w:color w:val="000000"/>
              </w:rPr>
              <w:t>Diğer Ülkelerdeki Üniversiteler</w:t>
            </w:r>
          </w:p>
        </w:tc>
        <w:tc>
          <w:tcPr>
            <w:tcW w:w="1143" w:type="dxa"/>
            <w:tcBorders>
              <w:top w:val="nil"/>
              <w:left w:val="nil"/>
              <w:bottom w:val="single" w:sz="4" w:space="0" w:color="auto"/>
              <w:right w:val="single" w:sz="4" w:space="0" w:color="auto"/>
            </w:tcBorders>
            <w:shd w:val="clear" w:color="auto" w:fill="auto"/>
            <w:noWrap/>
            <w:vAlign w:val="bottom"/>
            <w:hideMark/>
          </w:tcPr>
          <w:p w14:paraId="1D69FC46" w14:textId="77777777" w:rsidR="00D9330B" w:rsidRPr="00106886" w:rsidRDefault="00D9330B" w:rsidP="00286018">
            <w:pPr>
              <w:jc w:val="center"/>
              <w:rPr>
                <w:color w:val="000000" w:themeColor="text1"/>
              </w:rPr>
            </w:pPr>
            <w:r w:rsidRPr="00106886">
              <w:rPr>
                <w:color w:val="000000" w:themeColor="text1"/>
              </w:rPr>
              <w:t>1.010</w:t>
            </w:r>
          </w:p>
        </w:tc>
        <w:tc>
          <w:tcPr>
            <w:tcW w:w="1385" w:type="dxa"/>
            <w:gridSpan w:val="3"/>
            <w:tcBorders>
              <w:top w:val="nil"/>
              <w:left w:val="nil"/>
              <w:bottom w:val="single" w:sz="4" w:space="0" w:color="auto"/>
              <w:right w:val="single" w:sz="4" w:space="0" w:color="auto"/>
            </w:tcBorders>
            <w:shd w:val="clear" w:color="auto" w:fill="auto"/>
            <w:noWrap/>
            <w:vAlign w:val="bottom"/>
            <w:hideMark/>
          </w:tcPr>
          <w:p w14:paraId="05FFC41A" w14:textId="77777777" w:rsidR="00D9330B" w:rsidRPr="00106886" w:rsidRDefault="00D9330B" w:rsidP="00286018">
            <w:pPr>
              <w:jc w:val="center"/>
              <w:rPr>
                <w:color w:val="000000" w:themeColor="text1"/>
              </w:rPr>
            </w:pPr>
            <w:r w:rsidRPr="00106886">
              <w:rPr>
                <w:color w:val="000000" w:themeColor="text1"/>
              </w:rPr>
              <w:t>518</w:t>
            </w:r>
          </w:p>
        </w:tc>
        <w:tc>
          <w:tcPr>
            <w:tcW w:w="1114" w:type="dxa"/>
            <w:tcBorders>
              <w:top w:val="nil"/>
              <w:left w:val="nil"/>
              <w:bottom w:val="single" w:sz="4" w:space="0" w:color="auto"/>
              <w:right w:val="single" w:sz="4" w:space="0" w:color="auto"/>
            </w:tcBorders>
            <w:shd w:val="clear" w:color="auto" w:fill="auto"/>
            <w:noWrap/>
            <w:vAlign w:val="bottom"/>
            <w:hideMark/>
          </w:tcPr>
          <w:p w14:paraId="4012D58A" w14:textId="77777777" w:rsidR="00D9330B" w:rsidRPr="00106886" w:rsidRDefault="00D9330B" w:rsidP="00286018">
            <w:pPr>
              <w:jc w:val="center"/>
              <w:rPr>
                <w:color w:val="000000" w:themeColor="text1"/>
              </w:rPr>
            </w:pPr>
            <w:r w:rsidRPr="00106886">
              <w:rPr>
                <w:color w:val="000000" w:themeColor="text1"/>
              </w:rPr>
              <w:t>492</w:t>
            </w:r>
          </w:p>
        </w:tc>
        <w:tc>
          <w:tcPr>
            <w:tcW w:w="1249" w:type="dxa"/>
            <w:gridSpan w:val="2"/>
            <w:tcBorders>
              <w:top w:val="nil"/>
              <w:left w:val="nil"/>
              <w:bottom w:val="single" w:sz="4" w:space="0" w:color="auto"/>
              <w:right w:val="single" w:sz="4" w:space="0" w:color="auto"/>
            </w:tcBorders>
            <w:shd w:val="clear" w:color="auto" w:fill="auto"/>
            <w:noWrap/>
            <w:vAlign w:val="bottom"/>
            <w:hideMark/>
          </w:tcPr>
          <w:p w14:paraId="2D96DC89" w14:textId="77777777" w:rsidR="00D9330B" w:rsidRPr="00106886" w:rsidRDefault="00D9330B" w:rsidP="00286018">
            <w:pPr>
              <w:jc w:val="center"/>
              <w:rPr>
                <w:color w:val="000000" w:themeColor="text1"/>
              </w:rPr>
            </w:pPr>
            <w:r w:rsidRPr="00106886">
              <w:rPr>
                <w:color w:val="000000" w:themeColor="text1"/>
              </w:rPr>
              <w:t>51,29</w:t>
            </w:r>
          </w:p>
        </w:tc>
        <w:tc>
          <w:tcPr>
            <w:tcW w:w="1143" w:type="dxa"/>
            <w:tcBorders>
              <w:top w:val="nil"/>
              <w:left w:val="nil"/>
              <w:bottom w:val="single" w:sz="4" w:space="0" w:color="auto"/>
              <w:right w:val="single" w:sz="4" w:space="0" w:color="auto"/>
            </w:tcBorders>
            <w:vAlign w:val="bottom"/>
          </w:tcPr>
          <w:p w14:paraId="0F973F9A" w14:textId="77777777" w:rsidR="00D9330B" w:rsidRPr="00106886" w:rsidRDefault="00D9330B" w:rsidP="00286018">
            <w:pPr>
              <w:jc w:val="center"/>
              <w:rPr>
                <w:color w:val="000000" w:themeColor="text1"/>
              </w:rPr>
            </w:pPr>
            <w:r>
              <w:rPr>
                <w:color w:val="000000" w:themeColor="text1"/>
              </w:rPr>
              <w:t>1.131</w:t>
            </w:r>
          </w:p>
        </w:tc>
        <w:tc>
          <w:tcPr>
            <w:tcW w:w="1037" w:type="dxa"/>
            <w:tcBorders>
              <w:top w:val="nil"/>
              <w:left w:val="nil"/>
              <w:bottom w:val="single" w:sz="4" w:space="0" w:color="auto"/>
              <w:right w:val="single" w:sz="4" w:space="0" w:color="auto"/>
            </w:tcBorders>
            <w:vAlign w:val="bottom"/>
          </w:tcPr>
          <w:p w14:paraId="386FA387" w14:textId="77777777" w:rsidR="00D9330B" w:rsidRPr="00106886" w:rsidRDefault="00D9330B" w:rsidP="00286018">
            <w:pPr>
              <w:jc w:val="center"/>
              <w:rPr>
                <w:color w:val="000000" w:themeColor="text1"/>
              </w:rPr>
            </w:pPr>
            <w:r>
              <w:rPr>
                <w:color w:val="000000" w:themeColor="text1"/>
              </w:rPr>
              <w:t>514</w:t>
            </w:r>
          </w:p>
        </w:tc>
        <w:tc>
          <w:tcPr>
            <w:tcW w:w="931" w:type="dxa"/>
            <w:tcBorders>
              <w:top w:val="nil"/>
              <w:left w:val="nil"/>
              <w:bottom w:val="single" w:sz="4" w:space="0" w:color="auto"/>
              <w:right w:val="single" w:sz="4" w:space="0" w:color="auto"/>
            </w:tcBorders>
            <w:vAlign w:val="bottom"/>
          </w:tcPr>
          <w:p w14:paraId="2DE14ECE" w14:textId="77777777" w:rsidR="00D9330B" w:rsidRPr="00106886" w:rsidRDefault="00D9330B" w:rsidP="00286018">
            <w:pPr>
              <w:jc w:val="center"/>
              <w:rPr>
                <w:color w:val="000000" w:themeColor="text1"/>
              </w:rPr>
            </w:pPr>
            <w:r>
              <w:rPr>
                <w:color w:val="000000" w:themeColor="text1"/>
              </w:rPr>
              <w:t>617</w:t>
            </w:r>
          </w:p>
        </w:tc>
        <w:tc>
          <w:tcPr>
            <w:tcW w:w="1008" w:type="dxa"/>
            <w:tcBorders>
              <w:top w:val="nil"/>
              <w:left w:val="nil"/>
              <w:bottom w:val="single" w:sz="4" w:space="0" w:color="auto"/>
              <w:right w:val="single" w:sz="4" w:space="0" w:color="auto"/>
            </w:tcBorders>
            <w:vAlign w:val="bottom"/>
          </w:tcPr>
          <w:p w14:paraId="379909BB" w14:textId="77777777" w:rsidR="00D9330B" w:rsidRPr="00106886" w:rsidRDefault="00D9330B" w:rsidP="00286018">
            <w:pPr>
              <w:jc w:val="center"/>
              <w:rPr>
                <w:color w:val="000000" w:themeColor="text1"/>
              </w:rPr>
            </w:pPr>
            <w:r>
              <w:rPr>
                <w:color w:val="000000" w:themeColor="text1"/>
              </w:rPr>
              <w:t>45,44</w:t>
            </w:r>
          </w:p>
        </w:tc>
      </w:tr>
      <w:tr w:rsidR="00D9330B" w:rsidRPr="00106886" w14:paraId="0B9159CA" w14:textId="77777777" w:rsidTr="00286018">
        <w:trPr>
          <w:gridAfter w:val="1"/>
          <w:wAfter w:w="7" w:type="dxa"/>
          <w:trHeight w:val="411"/>
        </w:trPr>
        <w:tc>
          <w:tcPr>
            <w:tcW w:w="1423" w:type="dxa"/>
            <w:tcBorders>
              <w:top w:val="nil"/>
              <w:left w:val="single" w:sz="4" w:space="0" w:color="auto"/>
              <w:bottom w:val="single" w:sz="4" w:space="0" w:color="auto"/>
              <w:right w:val="single" w:sz="4" w:space="0" w:color="auto"/>
            </w:tcBorders>
            <w:shd w:val="clear" w:color="000000" w:fill="DCE6F1"/>
            <w:noWrap/>
            <w:vAlign w:val="bottom"/>
            <w:hideMark/>
          </w:tcPr>
          <w:p w14:paraId="62C27EEC" w14:textId="77777777" w:rsidR="00D9330B" w:rsidRPr="00106886" w:rsidRDefault="00D9330B" w:rsidP="00286018">
            <w:pPr>
              <w:rPr>
                <w:b/>
                <w:bCs/>
                <w:color w:val="000000"/>
              </w:rPr>
            </w:pPr>
            <w:r w:rsidRPr="00106886">
              <w:rPr>
                <w:b/>
                <w:bCs/>
                <w:color w:val="000000"/>
              </w:rPr>
              <w:t>Toplam</w:t>
            </w:r>
          </w:p>
        </w:tc>
        <w:tc>
          <w:tcPr>
            <w:tcW w:w="1143" w:type="dxa"/>
            <w:tcBorders>
              <w:top w:val="nil"/>
              <w:left w:val="nil"/>
              <w:bottom w:val="single" w:sz="4" w:space="0" w:color="auto"/>
              <w:right w:val="single" w:sz="4" w:space="0" w:color="auto"/>
            </w:tcBorders>
            <w:shd w:val="clear" w:color="000000" w:fill="DCE6F1"/>
            <w:noWrap/>
            <w:vAlign w:val="bottom"/>
            <w:hideMark/>
          </w:tcPr>
          <w:p w14:paraId="5A8BFF98" w14:textId="77777777" w:rsidR="00D9330B" w:rsidRPr="00106886" w:rsidRDefault="00D9330B" w:rsidP="00286018">
            <w:pPr>
              <w:jc w:val="center"/>
              <w:rPr>
                <w:b/>
                <w:color w:val="000000" w:themeColor="text1"/>
              </w:rPr>
            </w:pPr>
            <w:r w:rsidRPr="00106886">
              <w:rPr>
                <w:b/>
                <w:color w:val="000000" w:themeColor="text1"/>
              </w:rPr>
              <w:t>458.049</w:t>
            </w:r>
          </w:p>
        </w:tc>
        <w:tc>
          <w:tcPr>
            <w:tcW w:w="1385" w:type="dxa"/>
            <w:gridSpan w:val="3"/>
            <w:tcBorders>
              <w:top w:val="nil"/>
              <w:left w:val="nil"/>
              <w:bottom w:val="single" w:sz="4" w:space="0" w:color="auto"/>
              <w:right w:val="single" w:sz="4" w:space="0" w:color="auto"/>
            </w:tcBorders>
            <w:shd w:val="clear" w:color="000000" w:fill="DCE6F1"/>
            <w:noWrap/>
            <w:vAlign w:val="bottom"/>
            <w:hideMark/>
          </w:tcPr>
          <w:p w14:paraId="47D95E95" w14:textId="77777777" w:rsidR="00D9330B" w:rsidRPr="00106886" w:rsidRDefault="00D9330B" w:rsidP="00286018">
            <w:pPr>
              <w:jc w:val="center"/>
              <w:rPr>
                <w:b/>
                <w:color w:val="000000" w:themeColor="text1"/>
              </w:rPr>
            </w:pPr>
            <w:r w:rsidRPr="00106886">
              <w:rPr>
                <w:b/>
                <w:color w:val="000000" w:themeColor="text1"/>
              </w:rPr>
              <w:t>431.380</w:t>
            </w:r>
          </w:p>
        </w:tc>
        <w:tc>
          <w:tcPr>
            <w:tcW w:w="1114" w:type="dxa"/>
            <w:tcBorders>
              <w:top w:val="nil"/>
              <w:left w:val="nil"/>
              <w:bottom w:val="single" w:sz="4" w:space="0" w:color="auto"/>
              <w:right w:val="single" w:sz="4" w:space="0" w:color="auto"/>
            </w:tcBorders>
            <w:shd w:val="clear" w:color="000000" w:fill="DCE6F1"/>
            <w:noWrap/>
            <w:vAlign w:val="bottom"/>
            <w:hideMark/>
          </w:tcPr>
          <w:p w14:paraId="790E5756" w14:textId="77777777" w:rsidR="00D9330B" w:rsidRPr="00106886" w:rsidRDefault="00D9330B" w:rsidP="00286018">
            <w:pPr>
              <w:jc w:val="center"/>
              <w:rPr>
                <w:b/>
                <w:color w:val="000000" w:themeColor="text1"/>
              </w:rPr>
            </w:pPr>
            <w:r w:rsidRPr="00106886">
              <w:rPr>
                <w:b/>
                <w:color w:val="000000" w:themeColor="text1"/>
              </w:rPr>
              <w:t>26.669</w:t>
            </w:r>
          </w:p>
        </w:tc>
        <w:tc>
          <w:tcPr>
            <w:tcW w:w="1249" w:type="dxa"/>
            <w:gridSpan w:val="2"/>
            <w:tcBorders>
              <w:top w:val="nil"/>
              <w:left w:val="nil"/>
              <w:bottom w:val="single" w:sz="4" w:space="0" w:color="auto"/>
              <w:right w:val="single" w:sz="4" w:space="0" w:color="auto"/>
            </w:tcBorders>
            <w:shd w:val="clear" w:color="000000" w:fill="DCE6F1"/>
            <w:noWrap/>
            <w:vAlign w:val="bottom"/>
            <w:hideMark/>
          </w:tcPr>
          <w:p w14:paraId="36397CF2" w14:textId="77777777" w:rsidR="00D9330B" w:rsidRPr="00106886" w:rsidRDefault="00D9330B" w:rsidP="00286018">
            <w:pPr>
              <w:jc w:val="center"/>
              <w:rPr>
                <w:b/>
                <w:color w:val="000000" w:themeColor="text1"/>
              </w:rPr>
            </w:pPr>
            <w:r w:rsidRPr="00106886">
              <w:rPr>
                <w:b/>
                <w:color w:val="000000" w:themeColor="text1"/>
              </w:rPr>
              <w:t>94,18</w:t>
            </w:r>
          </w:p>
        </w:tc>
        <w:tc>
          <w:tcPr>
            <w:tcW w:w="1143" w:type="dxa"/>
            <w:tcBorders>
              <w:top w:val="nil"/>
              <w:left w:val="nil"/>
              <w:bottom w:val="single" w:sz="4" w:space="0" w:color="auto"/>
              <w:right w:val="single" w:sz="4" w:space="0" w:color="auto"/>
            </w:tcBorders>
            <w:shd w:val="clear" w:color="000000" w:fill="DCE6F1"/>
            <w:vAlign w:val="bottom"/>
          </w:tcPr>
          <w:p w14:paraId="567B2FBF" w14:textId="77777777" w:rsidR="00D9330B" w:rsidRPr="00106886" w:rsidRDefault="00D9330B" w:rsidP="00286018">
            <w:pPr>
              <w:jc w:val="center"/>
              <w:rPr>
                <w:b/>
                <w:color w:val="000000" w:themeColor="text1"/>
              </w:rPr>
            </w:pPr>
            <w:r>
              <w:rPr>
                <w:b/>
                <w:color w:val="000000" w:themeColor="text1"/>
              </w:rPr>
              <w:t>447.754</w:t>
            </w:r>
          </w:p>
        </w:tc>
        <w:tc>
          <w:tcPr>
            <w:tcW w:w="1037" w:type="dxa"/>
            <w:tcBorders>
              <w:top w:val="nil"/>
              <w:left w:val="nil"/>
              <w:bottom w:val="single" w:sz="4" w:space="0" w:color="auto"/>
              <w:right w:val="single" w:sz="4" w:space="0" w:color="auto"/>
            </w:tcBorders>
            <w:shd w:val="clear" w:color="000000" w:fill="DCE6F1"/>
            <w:vAlign w:val="bottom"/>
          </w:tcPr>
          <w:p w14:paraId="4EE39870" w14:textId="77777777" w:rsidR="00D9330B" w:rsidRPr="00106886" w:rsidRDefault="00D9330B" w:rsidP="00286018">
            <w:pPr>
              <w:jc w:val="center"/>
              <w:rPr>
                <w:b/>
                <w:color w:val="000000" w:themeColor="text1"/>
              </w:rPr>
            </w:pPr>
            <w:r>
              <w:rPr>
                <w:b/>
                <w:color w:val="000000" w:themeColor="text1"/>
              </w:rPr>
              <w:t>409.587</w:t>
            </w:r>
          </w:p>
        </w:tc>
        <w:tc>
          <w:tcPr>
            <w:tcW w:w="931" w:type="dxa"/>
            <w:tcBorders>
              <w:top w:val="nil"/>
              <w:left w:val="nil"/>
              <w:bottom w:val="single" w:sz="4" w:space="0" w:color="auto"/>
              <w:right w:val="single" w:sz="4" w:space="0" w:color="auto"/>
            </w:tcBorders>
            <w:shd w:val="clear" w:color="000000" w:fill="DCE6F1"/>
            <w:vAlign w:val="bottom"/>
          </w:tcPr>
          <w:p w14:paraId="0C5BE9AA" w14:textId="77777777" w:rsidR="00D9330B" w:rsidRPr="00106886" w:rsidRDefault="00D9330B" w:rsidP="00286018">
            <w:pPr>
              <w:jc w:val="center"/>
              <w:rPr>
                <w:b/>
                <w:color w:val="000000" w:themeColor="text1"/>
              </w:rPr>
            </w:pPr>
            <w:r>
              <w:rPr>
                <w:b/>
                <w:color w:val="000000" w:themeColor="text1"/>
              </w:rPr>
              <w:t>38.167</w:t>
            </w:r>
          </w:p>
        </w:tc>
        <w:tc>
          <w:tcPr>
            <w:tcW w:w="1008" w:type="dxa"/>
            <w:tcBorders>
              <w:top w:val="nil"/>
              <w:left w:val="nil"/>
              <w:bottom w:val="single" w:sz="4" w:space="0" w:color="auto"/>
              <w:right w:val="single" w:sz="4" w:space="0" w:color="auto"/>
            </w:tcBorders>
            <w:shd w:val="clear" w:color="000000" w:fill="DCE6F1"/>
            <w:vAlign w:val="bottom"/>
          </w:tcPr>
          <w:p w14:paraId="3D1FE497" w14:textId="77777777" w:rsidR="00D9330B" w:rsidRPr="00106886" w:rsidRDefault="00D9330B" w:rsidP="00286018">
            <w:pPr>
              <w:jc w:val="center"/>
              <w:rPr>
                <w:b/>
                <w:color w:val="000000" w:themeColor="text1"/>
              </w:rPr>
            </w:pPr>
            <w:r>
              <w:rPr>
                <w:b/>
                <w:color w:val="000000" w:themeColor="text1"/>
              </w:rPr>
              <w:t>91,47</w:t>
            </w:r>
          </w:p>
        </w:tc>
      </w:tr>
      <w:tr w:rsidR="00D9330B" w:rsidRPr="00106886" w14:paraId="3CDBAEA1" w14:textId="77777777" w:rsidTr="00286018">
        <w:trPr>
          <w:trHeight w:val="397"/>
        </w:trPr>
        <w:tc>
          <w:tcPr>
            <w:tcW w:w="142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14:paraId="622E4132" w14:textId="77777777" w:rsidR="00D9330B" w:rsidRPr="00106886" w:rsidRDefault="00D9330B" w:rsidP="00286018">
            <w:pPr>
              <w:rPr>
                <w:b/>
                <w:bCs/>
                <w:color w:val="FF0000"/>
              </w:rPr>
            </w:pPr>
            <w:r w:rsidRPr="00106886">
              <w:rPr>
                <w:b/>
                <w:bCs/>
                <w:color w:val="FF0000"/>
              </w:rPr>
              <w:t> </w:t>
            </w:r>
          </w:p>
        </w:tc>
        <w:tc>
          <w:tcPr>
            <w:tcW w:w="4891" w:type="dxa"/>
            <w:gridSpan w:val="7"/>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2387F874" w14:textId="77777777" w:rsidR="00D9330B" w:rsidRPr="00106886" w:rsidRDefault="00D9330B" w:rsidP="00286018">
            <w:pPr>
              <w:jc w:val="center"/>
              <w:rPr>
                <w:b/>
                <w:bCs/>
                <w:color w:val="000000"/>
              </w:rPr>
            </w:pPr>
            <w:r>
              <w:rPr>
                <w:b/>
                <w:bCs/>
                <w:color w:val="000000"/>
              </w:rPr>
              <w:t xml:space="preserve">2020 </w:t>
            </w:r>
            <w:proofErr w:type="spellStart"/>
            <w:r>
              <w:rPr>
                <w:b/>
                <w:bCs/>
                <w:color w:val="000000"/>
              </w:rPr>
              <w:t>Önl</w:t>
            </w:r>
            <w:r w:rsidRPr="00106886">
              <w:rPr>
                <w:b/>
                <w:bCs/>
                <w:color w:val="000000"/>
              </w:rPr>
              <w:t>isans</w:t>
            </w:r>
            <w:proofErr w:type="spellEnd"/>
          </w:p>
        </w:tc>
        <w:tc>
          <w:tcPr>
            <w:tcW w:w="4126" w:type="dxa"/>
            <w:gridSpan w:val="5"/>
            <w:tcBorders>
              <w:top w:val="single" w:sz="4" w:space="0" w:color="auto"/>
              <w:left w:val="nil"/>
              <w:bottom w:val="single" w:sz="4" w:space="0" w:color="auto"/>
              <w:right w:val="single" w:sz="4" w:space="0" w:color="000000"/>
            </w:tcBorders>
            <w:shd w:val="clear" w:color="000000" w:fill="F2F2F2" w:themeFill="background1" w:themeFillShade="F2"/>
            <w:vAlign w:val="bottom"/>
          </w:tcPr>
          <w:p w14:paraId="32533316" w14:textId="77777777" w:rsidR="00D9330B" w:rsidRPr="00106886" w:rsidRDefault="00D9330B" w:rsidP="00286018">
            <w:pPr>
              <w:jc w:val="center"/>
              <w:rPr>
                <w:b/>
                <w:bCs/>
                <w:color w:val="000000"/>
              </w:rPr>
            </w:pPr>
            <w:r>
              <w:rPr>
                <w:b/>
                <w:bCs/>
                <w:color w:val="000000"/>
              </w:rPr>
              <w:t xml:space="preserve">2019 </w:t>
            </w:r>
            <w:proofErr w:type="spellStart"/>
            <w:r>
              <w:rPr>
                <w:b/>
                <w:bCs/>
                <w:color w:val="000000"/>
              </w:rPr>
              <w:t>Önlisans</w:t>
            </w:r>
            <w:proofErr w:type="spellEnd"/>
          </w:p>
        </w:tc>
      </w:tr>
      <w:tr w:rsidR="00D9330B" w:rsidRPr="00106886" w14:paraId="6613B558" w14:textId="77777777" w:rsidTr="00286018">
        <w:trPr>
          <w:gridAfter w:val="1"/>
          <w:wAfter w:w="7" w:type="dxa"/>
          <w:trHeight w:val="453"/>
        </w:trPr>
        <w:tc>
          <w:tcPr>
            <w:tcW w:w="1423"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2C735F2" w14:textId="77777777" w:rsidR="00D9330B" w:rsidRPr="00106886" w:rsidRDefault="00D9330B" w:rsidP="00286018">
            <w:pPr>
              <w:rPr>
                <w:b/>
                <w:bCs/>
                <w:color w:val="FF0000"/>
              </w:rPr>
            </w:pPr>
          </w:p>
        </w:tc>
        <w:tc>
          <w:tcPr>
            <w:tcW w:w="1313"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3F6D6E7D" w14:textId="77777777" w:rsidR="00D9330B" w:rsidRPr="00106886" w:rsidRDefault="00D9330B" w:rsidP="00286018">
            <w:pPr>
              <w:jc w:val="center"/>
              <w:rPr>
                <w:b/>
                <w:bCs/>
                <w:color w:val="000000"/>
              </w:rPr>
            </w:pPr>
            <w:r w:rsidRPr="00106886">
              <w:rPr>
                <w:b/>
                <w:bCs/>
                <w:color w:val="000000"/>
              </w:rPr>
              <w:t>Kontenjan</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hideMark/>
          </w:tcPr>
          <w:p w14:paraId="643488A0" w14:textId="77777777" w:rsidR="00D9330B" w:rsidRPr="00106886" w:rsidRDefault="00D9330B" w:rsidP="00286018">
            <w:pPr>
              <w:jc w:val="center"/>
              <w:rPr>
                <w:b/>
                <w:bCs/>
                <w:color w:val="000000"/>
              </w:rPr>
            </w:pPr>
            <w:r w:rsidRPr="00106886">
              <w:rPr>
                <w:b/>
                <w:bCs/>
                <w:color w:val="000000"/>
              </w:rPr>
              <w:t>Yerleşen</w:t>
            </w:r>
          </w:p>
        </w:tc>
        <w:tc>
          <w:tcPr>
            <w:tcW w:w="1464" w:type="dxa"/>
            <w:gridSpan w:val="3"/>
            <w:tcBorders>
              <w:top w:val="nil"/>
              <w:left w:val="nil"/>
              <w:bottom w:val="single" w:sz="4" w:space="0" w:color="auto"/>
              <w:right w:val="single" w:sz="4" w:space="0" w:color="auto"/>
            </w:tcBorders>
            <w:shd w:val="clear" w:color="auto" w:fill="F2F2F2" w:themeFill="background1" w:themeFillShade="F2"/>
            <w:noWrap/>
            <w:vAlign w:val="bottom"/>
            <w:hideMark/>
          </w:tcPr>
          <w:p w14:paraId="4E6A4C73" w14:textId="77777777" w:rsidR="00D9330B" w:rsidRPr="00106886" w:rsidRDefault="00D9330B" w:rsidP="00286018">
            <w:pPr>
              <w:jc w:val="center"/>
              <w:rPr>
                <w:b/>
                <w:bCs/>
                <w:color w:val="000000"/>
              </w:rPr>
            </w:pPr>
            <w:r w:rsidRPr="00106886">
              <w:rPr>
                <w:b/>
                <w:bCs/>
                <w:color w:val="000000"/>
              </w:rPr>
              <w:t>Boş</w:t>
            </w:r>
          </w:p>
        </w:tc>
        <w:tc>
          <w:tcPr>
            <w:tcW w:w="1058" w:type="dxa"/>
            <w:tcBorders>
              <w:top w:val="nil"/>
              <w:left w:val="nil"/>
              <w:bottom w:val="single" w:sz="4" w:space="0" w:color="auto"/>
              <w:right w:val="single" w:sz="4" w:space="0" w:color="auto"/>
            </w:tcBorders>
            <w:shd w:val="clear" w:color="auto" w:fill="F2F2F2" w:themeFill="background1" w:themeFillShade="F2"/>
            <w:noWrap/>
            <w:vAlign w:val="bottom"/>
            <w:hideMark/>
          </w:tcPr>
          <w:p w14:paraId="5F03A7F3" w14:textId="77777777" w:rsidR="00D9330B" w:rsidRPr="00106886" w:rsidRDefault="00D9330B" w:rsidP="00286018">
            <w:pPr>
              <w:jc w:val="center"/>
              <w:rPr>
                <w:b/>
                <w:bCs/>
                <w:color w:val="000000"/>
              </w:rPr>
            </w:pPr>
            <w:r w:rsidRPr="00106886">
              <w:rPr>
                <w:b/>
                <w:bCs/>
                <w:color w:val="000000"/>
              </w:rPr>
              <w:t>Doluluk</w:t>
            </w:r>
          </w:p>
        </w:tc>
        <w:tc>
          <w:tcPr>
            <w:tcW w:w="1143" w:type="dxa"/>
            <w:tcBorders>
              <w:top w:val="nil"/>
              <w:left w:val="nil"/>
              <w:bottom w:val="single" w:sz="4" w:space="0" w:color="auto"/>
              <w:right w:val="single" w:sz="4" w:space="0" w:color="auto"/>
            </w:tcBorders>
            <w:shd w:val="clear" w:color="000000" w:fill="F2F2F2" w:themeFill="background1" w:themeFillShade="F2"/>
            <w:vAlign w:val="bottom"/>
          </w:tcPr>
          <w:p w14:paraId="2A4EFCC1" w14:textId="77777777" w:rsidR="00D9330B" w:rsidRPr="00106886" w:rsidRDefault="00D9330B" w:rsidP="00286018">
            <w:pPr>
              <w:jc w:val="center"/>
              <w:rPr>
                <w:b/>
                <w:bCs/>
                <w:color w:val="000000"/>
              </w:rPr>
            </w:pPr>
            <w:r w:rsidRPr="00106886">
              <w:rPr>
                <w:b/>
                <w:bCs/>
                <w:color w:val="000000"/>
              </w:rPr>
              <w:t>Kontenjan</w:t>
            </w:r>
          </w:p>
        </w:tc>
        <w:tc>
          <w:tcPr>
            <w:tcW w:w="1037" w:type="dxa"/>
            <w:tcBorders>
              <w:top w:val="nil"/>
              <w:left w:val="nil"/>
              <w:bottom w:val="single" w:sz="4" w:space="0" w:color="auto"/>
              <w:right w:val="single" w:sz="4" w:space="0" w:color="auto"/>
            </w:tcBorders>
            <w:shd w:val="clear" w:color="000000" w:fill="F2F2F2" w:themeFill="background1" w:themeFillShade="F2"/>
            <w:vAlign w:val="bottom"/>
          </w:tcPr>
          <w:p w14:paraId="33434C09" w14:textId="77777777" w:rsidR="00D9330B" w:rsidRPr="00106886" w:rsidRDefault="00D9330B" w:rsidP="00286018">
            <w:pPr>
              <w:jc w:val="center"/>
              <w:rPr>
                <w:b/>
                <w:bCs/>
                <w:color w:val="000000"/>
              </w:rPr>
            </w:pPr>
            <w:r w:rsidRPr="00106886">
              <w:rPr>
                <w:b/>
                <w:bCs/>
                <w:color w:val="000000"/>
              </w:rPr>
              <w:t>Yerleşen</w:t>
            </w:r>
          </w:p>
        </w:tc>
        <w:tc>
          <w:tcPr>
            <w:tcW w:w="931" w:type="dxa"/>
            <w:tcBorders>
              <w:top w:val="nil"/>
              <w:left w:val="nil"/>
              <w:bottom w:val="single" w:sz="4" w:space="0" w:color="auto"/>
              <w:right w:val="single" w:sz="4" w:space="0" w:color="auto"/>
            </w:tcBorders>
            <w:shd w:val="clear" w:color="000000" w:fill="F2F2F2" w:themeFill="background1" w:themeFillShade="F2"/>
            <w:vAlign w:val="bottom"/>
          </w:tcPr>
          <w:p w14:paraId="37C8B988" w14:textId="77777777" w:rsidR="00D9330B" w:rsidRPr="00106886" w:rsidRDefault="00D9330B" w:rsidP="00286018">
            <w:pPr>
              <w:jc w:val="center"/>
              <w:rPr>
                <w:b/>
                <w:bCs/>
                <w:color w:val="000000"/>
              </w:rPr>
            </w:pPr>
            <w:r w:rsidRPr="00106886">
              <w:rPr>
                <w:b/>
                <w:bCs/>
                <w:color w:val="000000"/>
              </w:rPr>
              <w:t>Boş</w:t>
            </w:r>
          </w:p>
        </w:tc>
        <w:tc>
          <w:tcPr>
            <w:tcW w:w="1008" w:type="dxa"/>
            <w:tcBorders>
              <w:top w:val="nil"/>
              <w:left w:val="nil"/>
              <w:bottom w:val="single" w:sz="4" w:space="0" w:color="auto"/>
              <w:right w:val="single" w:sz="4" w:space="0" w:color="auto"/>
            </w:tcBorders>
            <w:shd w:val="clear" w:color="000000" w:fill="F2F2F2" w:themeFill="background1" w:themeFillShade="F2"/>
            <w:vAlign w:val="bottom"/>
          </w:tcPr>
          <w:p w14:paraId="2A825C17" w14:textId="77777777" w:rsidR="00D9330B" w:rsidRPr="00106886" w:rsidRDefault="00D9330B" w:rsidP="00286018">
            <w:pPr>
              <w:jc w:val="center"/>
              <w:rPr>
                <w:b/>
                <w:bCs/>
                <w:color w:val="000000"/>
              </w:rPr>
            </w:pPr>
            <w:r w:rsidRPr="00106886">
              <w:rPr>
                <w:b/>
                <w:bCs/>
                <w:color w:val="000000"/>
              </w:rPr>
              <w:t>Doluluk</w:t>
            </w:r>
          </w:p>
        </w:tc>
      </w:tr>
      <w:tr w:rsidR="00D9330B" w:rsidRPr="00106886" w14:paraId="2E34D135" w14:textId="77777777" w:rsidTr="00286018">
        <w:trPr>
          <w:gridAfter w:val="1"/>
          <w:wAfter w:w="7" w:type="dxa"/>
          <w:trHeight w:val="271"/>
        </w:trPr>
        <w:tc>
          <w:tcPr>
            <w:tcW w:w="14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D20ECC1" w14:textId="77777777" w:rsidR="00D9330B" w:rsidRPr="00106886" w:rsidRDefault="00D9330B" w:rsidP="00286018">
            <w:pPr>
              <w:rPr>
                <w:b/>
                <w:bCs/>
                <w:color w:val="000000"/>
              </w:rPr>
            </w:pPr>
            <w:r w:rsidRPr="00106886">
              <w:rPr>
                <w:b/>
                <w:bCs/>
                <w:color w:val="000000"/>
              </w:rPr>
              <w:t>Devlet Üniversiteleri</w:t>
            </w:r>
          </w:p>
        </w:tc>
        <w:tc>
          <w:tcPr>
            <w:tcW w:w="1313" w:type="dxa"/>
            <w:gridSpan w:val="2"/>
            <w:tcBorders>
              <w:top w:val="nil"/>
              <w:left w:val="nil"/>
              <w:bottom w:val="single" w:sz="4" w:space="0" w:color="auto"/>
              <w:right w:val="single" w:sz="4" w:space="0" w:color="auto"/>
            </w:tcBorders>
            <w:shd w:val="clear" w:color="auto" w:fill="FFFFFF" w:themeFill="background1"/>
            <w:vAlign w:val="bottom"/>
          </w:tcPr>
          <w:p w14:paraId="13275E4A" w14:textId="77777777" w:rsidR="00D9330B" w:rsidRPr="00106886" w:rsidRDefault="00D9330B" w:rsidP="00286018">
            <w:pPr>
              <w:jc w:val="center"/>
              <w:rPr>
                <w:color w:val="000000" w:themeColor="text1"/>
              </w:rPr>
            </w:pPr>
            <w:r w:rsidRPr="00106886">
              <w:rPr>
                <w:color w:val="000000" w:themeColor="text1"/>
              </w:rPr>
              <w:t>299.630</w:t>
            </w:r>
          </w:p>
        </w:tc>
        <w:tc>
          <w:tcPr>
            <w:tcW w:w="1056" w:type="dxa"/>
            <w:tcBorders>
              <w:top w:val="nil"/>
              <w:left w:val="nil"/>
              <w:bottom w:val="single" w:sz="4" w:space="0" w:color="auto"/>
              <w:right w:val="single" w:sz="4" w:space="0" w:color="auto"/>
            </w:tcBorders>
            <w:shd w:val="clear" w:color="auto" w:fill="FFFFFF" w:themeFill="background1"/>
            <w:noWrap/>
            <w:vAlign w:val="bottom"/>
            <w:hideMark/>
          </w:tcPr>
          <w:p w14:paraId="6858FCDF" w14:textId="77777777" w:rsidR="00D9330B" w:rsidRPr="00106886" w:rsidRDefault="00D9330B" w:rsidP="00286018">
            <w:pPr>
              <w:jc w:val="center"/>
              <w:rPr>
                <w:color w:val="000000" w:themeColor="text1"/>
              </w:rPr>
            </w:pPr>
            <w:r w:rsidRPr="00106886">
              <w:rPr>
                <w:color w:val="000000" w:themeColor="text1"/>
              </w:rPr>
              <w:t>283.521</w:t>
            </w:r>
          </w:p>
        </w:tc>
        <w:tc>
          <w:tcPr>
            <w:tcW w:w="1464" w:type="dxa"/>
            <w:gridSpan w:val="3"/>
            <w:tcBorders>
              <w:top w:val="nil"/>
              <w:left w:val="nil"/>
              <w:bottom w:val="single" w:sz="4" w:space="0" w:color="auto"/>
              <w:right w:val="single" w:sz="4" w:space="0" w:color="auto"/>
            </w:tcBorders>
            <w:shd w:val="clear" w:color="auto" w:fill="FFFFFF" w:themeFill="background1"/>
            <w:noWrap/>
            <w:vAlign w:val="bottom"/>
            <w:hideMark/>
          </w:tcPr>
          <w:p w14:paraId="38E9D57F" w14:textId="77777777" w:rsidR="00D9330B" w:rsidRPr="00106886" w:rsidRDefault="00D9330B" w:rsidP="00286018">
            <w:pPr>
              <w:jc w:val="center"/>
              <w:rPr>
                <w:color w:val="000000" w:themeColor="text1"/>
              </w:rPr>
            </w:pPr>
            <w:r w:rsidRPr="00106886">
              <w:rPr>
                <w:color w:val="000000" w:themeColor="text1"/>
              </w:rPr>
              <w:t>16</w:t>
            </w:r>
            <w:r>
              <w:rPr>
                <w:color w:val="000000" w:themeColor="text1"/>
              </w:rPr>
              <w:t>.</w:t>
            </w:r>
            <w:r w:rsidRPr="00106886">
              <w:rPr>
                <w:color w:val="000000" w:themeColor="text1"/>
              </w:rPr>
              <w:t>109</w:t>
            </w:r>
          </w:p>
        </w:tc>
        <w:tc>
          <w:tcPr>
            <w:tcW w:w="1058" w:type="dxa"/>
            <w:tcBorders>
              <w:top w:val="nil"/>
              <w:left w:val="nil"/>
              <w:bottom w:val="single" w:sz="4" w:space="0" w:color="auto"/>
              <w:right w:val="single" w:sz="4" w:space="0" w:color="auto"/>
            </w:tcBorders>
            <w:shd w:val="clear" w:color="auto" w:fill="FFFFFF" w:themeFill="background1"/>
            <w:noWrap/>
            <w:vAlign w:val="bottom"/>
            <w:hideMark/>
          </w:tcPr>
          <w:p w14:paraId="7DB044D8" w14:textId="77777777" w:rsidR="00D9330B" w:rsidRPr="00106886" w:rsidRDefault="00D9330B" w:rsidP="00286018">
            <w:pPr>
              <w:jc w:val="center"/>
              <w:rPr>
                <w:color w:val="000000" w:themeColor="text1"/>
              </w:rPr>
            </w:pPr>
            <w:r w:rsidRPr="00106886">
              <w:rPr>
                <w:color w:val="000000" w:themeColor="text1"/>
              </w:rPr>
              <w:t>94,62</w:t>
            </w:r>
          </w:p>
        </w:tc>
        <w:tc>
          <w:tcPr>
            <w:tcW w:w="1143" w:type="dxa"/>
            <w:tcBorders>
              <w:top w:val="nil"/>
              <w:left w:val="nil"/>
              <w:bottom w:val="single" w:sz="4" w:space="0" w:color="auto"/>
              <w:right w:val="single" w:sz="4" w:space="0" w:color="auto"/>
            </w:tcBorders>
            <w:vAlign w:val="bottom"/>
          </w:tcPr>
          <w:p w14:paraId="6E4E1F42" w14:textId="77777777" w:rsidR="00D9330B" w:rsidRPr="00106886" w:rsidRDefault="00D9330B" w:rsidP="00286018">
            <w:pPr>
              <w:jc w:val="center"/>
              <w:rPr>
                <w:color w:val="000000" w:themeColor="text1"/>
              </w:rPr>
            </w:pPr>
            <w:r>
              <w:rPr>
                <w:color w:val="000000" w:themeColor="text1"/>
              </w:rPr>
              <w:t>298.220</w:t>
            </w:r>
          </w:p>
        </w:tc>
        <w:tc>
          <w:tcPr>
            <w:tcW w:w="1037" w:type="dxa"/>
            <w:tcBorders>
              <w:top w:val="nil"/>
              <w:left w:val="nil"/>
              <w:bottom w:val="single" w:sz="4" w:space="0" w:color="auto"/>
              <w:right w:val="single" w:sz="4" w:space="0" w:color="auto"/>
            </w:tcBorders>
            <w:vAlign w:val="bottom"/>
          </w:tcPr>
          <w:p w14:paraId="46120C81" w14:textId="77777777" w:rsidR="00D9330B" w:rsidRPr="00106886" w:rsidRDefault="00D9330B" w:rsidP="00286018">
            <w:pPr>
              <w:jc w:val="center"/>
              <w:rPr>
                <w:color w:val="000000" w:themeColor="text1"/>
              </w:rPr>
            </w:pPr>
            <w:r>
              <w:rPr>
                <w:color w:val="000000" w:themeColor="text1"/>
              </w:rPr>
              <w:t>279.224</w:t>
            </w:r>
          </w:p>
        </w:tc>
        <w:tc>
          <w:tcPr>
            <w:tcW w:w="931" w:type="dxa"/>
            <w:tcBorders>
              <w:top w:val="nil"/>
              <w:left w:val="nil"/>
              <w:bottom w:val="single" w:sz="4" w:space="0" w:color="auto"/>
              <w:right w:val="single" w:sz="4" w:space="0" w:color="auto"/>
            </w:tcBorders>
            <w:vAlign w:val="bottom"/>
          </w:tcPr>
          <w:p w14:paraId="3D768F80" w14:textId="77777777" w:rsidR="00D9330B" w:rsidRPr="00106886" w:rsidRDefault="00D9330B" w:rsidP="00286018">
            <w:pPr>
              <w:jc w:val="center"/>
              <w:rPr>
                <w:color w:val="000000" w:themeColor="text1"/>
              </w:rPr>
            </w:pPr>
            <w:r>
              <w:rPr>
                <w:color w:val="000000" w:themeColor="text1"/>
              </w:rPr>
              <w:t>18.996</w:t>
            </w:r>
          </w:p>
        </w:tc>
        <w:tc>
          <w:tcPr>
            <w:tcW w:w="1008" w:type="dxa"/>
            <w:tcBorders>
              <w:top w:val="nil"/>
              <w:left w:val="nil"/>
              <w:bottom w:val="single" w:sz="4" w:space="0" w:color="auto"/>
              <w:right w:val="single" w:sz="4" w:space="0" w:color="auto"/>
            </w:tcBorders>
            <w:vAlign w:val="bottom"/>
          </w:tcPr>
          <w:p w14:paraId="086BE4CA" w14:textId="77777777" w:rsidR="00D9330B" w:rsidRPr="00106886" w:rsidRDefault="00D9330B" w:rsidP="00286018">
            <w:pPr>
              <w:jc w:val="center"/>
              <w:rPr>
                <w:color w:val="000000" w:themeColor="text1"/>
              </w:rPr>
            </w:pPr>
            <w:r>
              <w:rPr>
                <w:color w:val="000000" w:themeColor="text1"/>
              </w:rPr>
              <w:t>93,63</w:t>
            </w:r>
          </w:p>
        </w:tc>
      </w:tr>
      <w:tr w:rsidR="00D9330B" w:rsidRPr="00106886" w14:paraId="3A4E9FB5" w14:textId="77777777" w:rsidTr="00286018">
        <w:trPr>
          <w:gridAfter w:val="1"/>
          <w:wAfter w:w="7" w:type="dxa"/>
          <w:trHeight w:val="240"/>
        </w:trPr>
        <w:tc>
          <w:tcPr>
            <w:tcW w:w="14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B4A9E18" w14:textId="77777777" w:rsidR="00D9330B" w:rsidRPr="00106886" w:rsidRDefault="00D9330B" w:rsidP="00286018">
            <w:pPr>
              <w:rPr>
                <w:b/>
                <w:bCs/>
                <w:color w:val="000000"/>
              </w:rPr>
            </w:pPr>
            <w:r w:rsidRPr="00106886">
              <w:rPr>
                <w:b/>
                <w:bCs/>
                <w:color w:val="000000"/>
              </w:rPr>
              <w:t>Vakıf Üniversiteleri</w:t>
            </w:r>
          </w:p>
        </w:tc>
        <w:tc>
          <w:tcPr>
            <w:tcW w:w="1313" w:type="dxa"/>
            <w:gridSpan w:val="2"/>
            <w:tcBorders>
              <w:top w:val="nil"/>
              <w:left w:val="nil"/>
              <w:bottom w:val="single" w:sz="4" w:space="0" w:color="auto"/>
              <w:right w:val="single" w:sz="4" w:space="0" w:color="auto"/>
            </w:tcBorders>
            <w:shd w:val="clear" w:color="auto" w:fill="FFFFFF" w:themeFill="background1"/>
            <w:vAlign w:val="bottom"/>
          </w:tcPr>
          <w:p w14:paraId="389FCF44" w14:textId="77777777" w:rsidR="00D9330B" w:rsidRPr="00106886" w:rsidRDefault="00D9330B" w:rsidP="00286018">
            <w:pPr>
              <w:jc w:val="center"/>
              <w:rPr>
                <w:color w:val="000000" w:themeColor="text1"/>
              </w:rPr>
            </w:pPr>
            <w:r>
              <w:rPr>
                <w:color w:val="000000" w:themeColor="text1"/>
              </w:rPr>
              <w:t>76.909</w:t>
            </w:r>
          </w:p>
        </w:tc>
        <w:tc>
          <w:tcPr>
            <w:tcW w:w="1056" w:type="dxa"/>
            <w:tcBorders>
              <w:top w:val="nil"/>
              <w:left w:val="nil"/>
              <w:bottom w:val="single" w:sz="4" w:space="0" w:color="auto"/>
              <w:right w:val="single" w:sz="4" w:space="0" w:color="auto"/>
            </w:tcBorders>
            <w:shd w:val="clear" w:color="auto" w:fill="FFFFFF" w:themeFill="background1"/>
            <w:noWrap/>
            <w:vAlign w:val="bottom"/>
            <w:hideMark/>
          </w:tcPr>
          <w:p w14:paraId="65DF47A8" w14:textId="77777777" w:rsidR="00D9330B" w:rsidRPr="00106886" w:rsidRDefault="00D9330B" w:rsidP="00286018">
            <w:pPr>
              <w:jc w:val="center"/>
              <w:rPr>
                <w:color w:val="000000" w:themeColor="text1"/>
              </w:rPr>
            </w:pPr>
            <w:r>
              <w:rPr>
                <w:color w:val="000000" w:themeColor="text1"/>
              </w:rPr>
              <w:t>63.993</w:t>
            </w:r>
          </w:p>
        </w:tc>
        <w:tc>
          <w:tcPr>
            <w:tcW w:w="1464" w:type="dxa"/>
            <w:gridSpan w:val="3"/>
            <w:tcBorders>
              <w:top w:val="nil"/>
              <w:left w:val="nil"/>
              <w:bottom w:val="single" w:sz="4" w:space="0" w:color="auto"/>
              <w:right w:val="single" w:sz="4" w:space="0" w:color="auto"/>
            </w:tcBorders>
            <w:shd w:val="clear" w:color="auto" w:fill="FFFFFF" w:themeFill="background1"/>
            <w:noWrap/>
            <w:vAlign w:val="bottom"/>
            <w:hideMark/>
          </w:tcPr>
          <w:p w14:paraId="41CCDDB6" w14:textId="77777777" w:rsidR="00D9330B" w:rsidRPr="00106886" w:rsidRDefault="00D9330B" w:rsidP="00286018">
            <w:pPr>
              <w:jc w:val="center"/>
              <w:rPr>
                <w:color w:val="000000" w:themeColor="text1"/>
              </w:rPr>
            </w:pPr>
            <w:r>
              <w:rPr>
                <w:color w:val="000000" w:themeColor="text1"/>
              </w:rPr>
              <w:t>12.916</w:t>
            </w:r>
          </w:p>
        </w:tc>
        <w:tc>
          <w:tcPr>
            <w:tcW w:w="1058" w:type="dxa"/>
            <w:tcBorders>
              <w:top w:val="nil"/>
              <w:left w:val="nil"/>
              <w:bottom w:val="single" w:sz="4" w:space="0" w:color="auto"/>
              <w:right w:val="single" w:sz="4" w:space="0" w:color="auto"/>
            </w:tcBorders>
            <w:shd w:val="clear" w:color="auto" w:fill="FFFFFF" w:themeFill="background1"/>
            <w:noWrap/>
            <w:vAlign w:val="bottom"/>
            <w:hideMark/>
          </w:tcPr>
          <w:p w14:paraId="6B62553F" w14:textId="77777777" w:rsidR="00D9330B" w:rsidRPr="00106886" w:rsidRDefault="00D9330B" w:rsidP="00286018">
            <w:pPr>
              <w:jc w:val="center"/>
              <w:rPr>
                <w:color w:val="000000" w:themeColor="text1"/>
              </w:rPr>
            </w:pPr>
            <w:r>
              <w:rPr>
                <w:color w:val="000000" w:themeColor="text1"/>
              </w:rPr>
              <w:t>83,20</w:t>
            </w:r>
          </w:p>
        </w:tc>
        <w:tc>
          <w:tcPr>
            <w:tcW w:w="1143" w:type="dxa"/>
            <w:tcBorders>
              <w:top w:val="nil"/>
              <w:left w:val="nil"/>
              <w:bottom w:val="single" w:sz="4" w:space="0" w:color="auto"/>
              <w:right w:val="single" w:sz="4" w:space="0" w:color="auto"/>
            </w:tcBorders>
            <w:vAlign w:val="bottom"/>
          </w:tcPr>
          <w:p w14:paraId="366D52B0" w14:textId="77777777" w:rsidR="00D9330B" w:rsidRPr="00106886" w:rsidRDefault="00D9330B" w:rsidP="00286018">
            <w:pPr>
              <w:jc w:val="center"/>
              <w:rPr>
                <w:color w:val="000000" w:themeColor="text1"/>
              </w:rPr>
            </w:pPr>
            <w:r>
              <w:rPr>
                <w:color w:val="000000" w:themeColor="text1"/>
              </w:rPr>
              <w:t>74.735</w:t>
            </w:r>
          </w:p>
        </w:tc>
        <w:tc>
          <w:tcPr>
            <w:tcW w:w="1037" w:type="dxa"/>
            <w:tcBorders>
              <w:top w:val="nil"/>
              <w:left w:val="nil"/>
              <w:bottom w:val="single" w:sz="4" w:space="0" w:color="auto"/>
              <w:right w:val="single" w:sz="4" w:space="0" w:color="auto"/>
            </w:tcBorders>
            <w:vAlign w:val="bottom"/>
          </w:tcPr>
          <w:p w14:paraId="1B0A0D12" w14:textId="77777777" w:rsidR="00D9330B" w:rsidRPr="00106886" w:rsidRDefault="00D9330B" w:rsidP="00286018">
            <w:pPr>
              <w:jc w:val="center"/>
              <w:rPr>
                <w:color w:val="000000" w:themeColor="text1"/>
              </w:rPr>
            </w:pPr>
            <w:r w:rsidRPr="00106886">
              <w:rPr>
                <w:color w:val="000000" w:themeColor="text1"/>
              </w:rPr>
              <w:t>6</w:t>
            </w:r>
            <w:r>
              <w:rPr>
                <w:color w:val="000000" w:themeColor="text1"/>
              </w:rPr>
              <w:t>2.523</w:t>
            </w:r>
          </w:p>
        </w:tc>
        <w:tc>
          <w:tcPr>
            <w:tcW w:w="931" w:type="dxa"/>
            <w:tcBorders>
              <w:top w:val="nil"/>
              <w:left w:val="nil"/>
              <w:bottom w:val="single" w:sz="4" w:space="0" w:color="auto"/>
              <w:right w:val="single" w:sz="4" w:space="0" w:color="auto"/>
            </w:tcBorders>
            <w:vAlign w:val="bottom"/>
          </w:tcPr>
          <w:p w14:paraId="6BA42AED" w14:textId="77777777" w:rsidR="00D9330B" w:rsidRPr="00106886" w:rsidRDefault="00D9330B" w:rsidP="00286018">
            <w:pPr>
              <w:jc w:val="center"/>
              <w:rPr>
                <w:color w:val="000000" w:themeColor="text1"/>
              </w:rPr>
            </w:pPr>
            <w:r w:rsidRPr="00106886">
              <w:rPr>
                <w:color w:val="000000" w:themeColor="text1"/>
              </w:rPr>
              <w:t>1</w:t>
            </w:r>
            <w:r>
              <w:rPr>
                <w:color w:val="000000" w:themeColor="text1"/>
              </w:rPr>
              <w:t>2.212</w:t>
            </w:r>
          </w:p>
        </w:tc>
        <w:tc>
          <w:tcPr>
            <w:tcW w:w="1008" w:type="dxa"/>
            <w:tcBorders>
              <w:top w:val="nil"/>
              <w:left w:val="nil"/>
              <w:bottom w:val="single" w:sz="4" w:space="0" w:color="auto"/>
              <w:right w:val="single" w:sz="4" w:space="0" w:color="auto"/>
            </w:tcBorders>
            <w:vAlign w:val="bottom"/>
          </w:tcPr>
          <w:p w14:paraId="140FB991" w14:textId="77777777" w:rsidR="00D9330B" w:rsidRPr="00106886" w:rsidRDefault="00D9330B" w:rsidP="00286018">
            <w:pPr>
              <w:jc w:val="center"/>
              <w:rPr>
                <w:color w:val="000000" w:themeColor="text1"/>
              </w:rPr>
            </w:pPr>
            <w:r>
              <w:rPr>
                <w:color w:val="000000" w:themeColor="text1"/>
              </w:rPr>
              <w:t>83,66</w:t>
            </w:r>
          </w:p>
        </w:tc>
      </w:tr>
      <w:tr w:rsidR="00D9330B" w:rsidRPr="00106886" w14:paraId="5A06535D" w14:textId="77777777" w:rsidTr="00286018">
        <w:trPr>
          <w:gridAfter w:val="1"/>
          <w:wAfter w:w="7" w:type="dxa"/>
          <w:trHeight w:val="240"/>
        </w:trPr>
        <w:tc>
          <w:tcPr>
            <w:tcW w:w="14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551A6C9" w14:textId="77777777" w:rsidR="00D9330B" w:rsidRPr="00106886" w:rsidRDefault="00D9330B" w:rsidP="00286018">
            <w:pPr>
              <w:rPr>
                <w:b/>
                <w:bCs/>
                <w:color w:val="000000"/>
              </w:rPr>
            </w:pPr>
            <w:r w:rsidRPr="00106886">
              <w:rPr>
                <w:b/>
                <w:bCs/>
                <w:color w:val="000000"/>
              </w:rPr>
              <w:t>KKTC Üniversiteleri</w:t>
            </w:r>
          </w:p>
        </w:tc>
        <w:tc>
          <w:tcPr>
            <w:tcW w:w="1313" w:type="dxa"/>
            <w:gridSpan w:val="2"/>
            <w:tcBorders>
              <w:top w:val="nil"/>
              <w:left w:val="nil"/>
              <w:bottom w:val="single" w:sz="4" w:space="0" w:color="auto"/>
              <w:right w:val="single" w:sz="4" w:space="0" w:color="auto"/>
            </w:tcBorders>
            <w:shd w:val="clear" w:color="auto" w:fill="FFFFFF" w:themeFill="background1"/>
            <w:vAlign w:val="bottom"/>
          </w:tcPr>
          <w:p w14:paraId="58786A86" w14:textId="77777777" w:rsidR="00D9330B" w:rsidRPr="00106886" w:rsidRDefault="00D9330B" w:rsidP="00286018">
            <w:pPr>
              <w:jc w:val="center"/>
              <w:rPr>
                <w:color w:val="000000" w:themeColor="text1"/>
              </w:rPr>
            </w:pPr>
            <w:r w:rsidRPr="00106886">
              <w:rPr>
                <w:color w:val="000000" w:themeColor="text1"/>
              </w:rPr>
              <w:t>3</w:t>
            </w:r>
            <w:r>
              <w:rPr>
                <w:color w:val="000000" w:themeColor="text1"/>
              </w:rPr>
              <w:t>.</w:t>
            </w:r>
            <w:r w:rsidRPr="00106886">
              <w:rPr>
                <w:color w:val="000000" w:themeColor="text1"/>
              </w:rPr>
              <w:t>553</w:t>
            </w:r>
          </w:p>
        </w:tc>
        <w:tc>
          <w:tcPr>
            <w:tcW w:w="1056" w:type="dxa"/>
            <w:tcBorders>
              <w:top w:val="nil"/>
              <w:left w:val="nil"/>
              <w:bottom w:val="single" w:sz="4" w:space="0" w:color="auto"/>
              <w:right w:val="single" w:sz="4" w:space="0" w:color="auto"/>
            </w:tcBorders>
            <w:shd w:val="clear" w:color="auto" w:fill="FFFFFF" w:themeFill="background1"/>
            <w:noWrap/>
            <w:vAlign w:val="bottom"/>
            <w:hideMark/>
          </w:tcPr>
          <w:p w14:paraId="1E9B7A1D" w14:textId="77777777" w:rsidR="00D9330B" w:rsidRPr="00106886" w:rsidRDefault="00D9330B" w:rsidP="00286018">
            <w:pPr>
              <w:jc w:val="center"/>
              <w:rPr>
                <w:color w:val="000000" w:themeColor="text1"/>
              </w:rPr>
            </w:pPr>
            <w:r w:rsidRPr="00106886">
              <w:rPr>
                <w:color w:val="000000" w:themeColor="text1"/>
              </w:rPr>
              <w:t>2</w:t>
            </w:r>
            <w:r>
              <w:rPr>
                <w:color w:val="000000" w:themeColor="text1"/>
              </w:rPr>
              <w:t>.</w:t>
            </w:r>
            <w:r w:rsidRPr="00106886">
              <w:rPr>
                <w:color w:val="000000" w:themeColor="text1"/>
              </w:rPr>
              <w:t>191</w:t>
            </w:r>
          </w:p>
        </w:tc>
        <w:tc>
          <w:tcPr>
            <w:tcW w:w="1464" w:type="dxa"/>
            <w:gridSpan w:val="3"/>
            <w:tcBorders>
              <w:top w:val="nil"/>
              <w:left w:val="nil"/>
              <w:bottom w:val="single" w:sz="4" w:space="0" w:color="auto"/>
              <w:right w:val="single" w:sz="4" w:space="0" w:color="auto"/>
            </w:tcBorders>
            <w:shd w:val="clear" w:color="auto" w:fill="FFFFFF" w:themeFill="background1"/>
            <w:noWrap/>
            <w:vAlign w:val="bottom"/>
            <w:hideMark/>
          </w:tcPr>
          <w:p w14:paraId="4DA85F6F" w14:textId="77777777" w:rsidR="00D9330B" w:rsidRPr="00106886" w:rsidRDefault="00D9330B" w:rsidP="00286018">
            <w:pPr>
              <w:jc w:val="center"/>
              <w:rPr>
                <w:color w:val="000000" w:themeColor="text1"/>
              </w:rPr>
            </w:pPr>
            <w:r w:rsidRPr="00106886">
              <w:rPr>
                <w:color w:val="000000" w:themeColor="text1"/>
              </w:rPr>
              <w:t>1</w:t>
            </w:r>
            <w:r>
              <w:rPr>
                <w:color w:val="000000" w:themeColor="text1"/>
              </w:rPr>
              <w:t>.</w:t>
            </w:r>
            <w:r w:rsidRPr="00106886">
              <w:rPr>
                <w:color w:val="000000" w:themeColor="text1"/>
              </w:rPr>
              <w:t>362</w:t>
            </w:r>
          </w:p>
        </w:tc>
        <w:tc>
          <w:tcPr>
            <w:tcW w:w="1058" w:type="dxa"/>
            <w:tcBorders>
              <w:top w:val="nil"/>
              <w:left w:val="nil"/>
              <w:bottom w:val="single" w:sz="4" w:space="0" w:color="auto"/>
              <w:right w:val="single" w:sz="4" w:space="0" w:color="auto"/>
            </w:tcBorders>
            <w:shd w:val="clear" w:color="auto" w:fill="FFFFFF" w:themeFill="background1"/>
            <w:noWrap/>
            <w:vAlign w:val="bottom"/>
            <w:hideMark/>
          </w:tcPr>
          <w:p w14:paraId="4F62084E" w14:textId="77777777" w:rsidR="00D9330B" w:rsidRPr="00106886" w:rsidRDefault="00D9330B" w:rsidP="00286018">
            <w:pPr>
              <w:jc w:val="center"/>
              <w:rPr>
                <w:color w:val="000000" w:themeColor="text1"/>
              </w:rPr>
            </w:pPr>
            <w:r w:rsidRPr="00106886">
              <w:rPr>
                <w:color w:val="000000" w:themeColor="text1"/>
              </w:rPr>
              <w:t>61,67</w:t>
            </w:r>
          </w:p>
        </w:tc>
        <w:tc>
          <w:tcPr>
            <w:tcW w:w="1143" w:type="dxa"/>
            <w:tcBorders>
              <w:top w:val="nil"/>
              <w:left w:val="nil"/>
              <w:bottom w:val="single" w:sz="4" w:space="0" w:color="auto"/>
              <w:right w:val="single" w:sz="4" w:space="0" w:color="auto"/>
            </w:tcBorders>
            <w:vAlign w:val="bottom"/>
          </w:tcPr>
          <w:p w14:paraId="7EE57026" w14:textId="77777777" w:rsidR="00D9330B" w:rsidRPr="00106886" w:rsidRDefault="00D9330B" w:rsidP="00286018">
            <w:pPr>
              <w:jc w:val="center"/>
              <w:rPr>
                <w:color w:val="000000" w:themeColor="text1"/>
              </w:rPr>
            </w:pPr>
            <w:r w:rsidRPr="00106886">
              <w:rPr>
                <w:color w:val="000000" w:themeColor="text1"/>
              </w:rPr>
              <w:t>3</w:t>
            </w:r>
            <w:r>
              <w:rPr>
                <w:color w:val="000000" w:themeColor="text1"/>
              </w:rPr>
              <w:t>.905</w:t>
            </w:r>
          </w:p>
        </w:tc>
        <w:tc>
          <w:tcPr>
            <w:tcW w:w="1037" w:type="dxa"/>
            <w:tcBorders>
              <w:top w:val="nil"/>
              <w:left w:val="nil"/>
              <w:bottom w:val="single" w:sz="4" w:space="0" w:color="auto"/>
              <w:right w:val="single" w:sz="4" w:space="0" w:color="auto"/>
            </w:tcBorders>
            <w:vAlign w:val="bottom"/>
          </w:tcPr>
          <w:p w14:paraId="430C5D83" w14:textId="77777777" w:rsidR="00D9330B" w:rsidRPr="00106886" w:rsidRDefault="00D9330B" w:rsidP="00286018">
            <w:pPr>
              <w:jc w:val="center"/>
              <w:rPr>
                <w:color w:val="000000" w:themeColor="text1"/>
              </w:rPr>
            </w:pPr>
            <w:r w:rsidRPr="00106886">
              <w:rPr>
                <w:color w:val="000000" w:themeColor="text1"/>
              </w:rPr>
              <w:t>2</w:t>
            </w:r>
            <w:r>
              <w:rPr>
                <w:color w:val="000000" w:themeColor="text1"/>
              </w:rPr>
              <w:t>.047</w:t>
            </w:r>
          </w:p>
        </w:tc>
        <w:tc>
          <w:tcPr>
            <w:tcW w:w="931" w:type="dxa"/>
            <w:tcBorders>
              <w:top w:val="nil"/>
              <w:left w:val="nil"/>
              <w:bottom w:val="single" w:sz="4" w:space="0" w:color="auto"/>
              <w:right w:val="single" w:sz="4" w:space="0" w:color="auto"/>
            </w:tcBorders>
            <w:vAlign w:val="bottom"/>
          </w:tcPr>
          <w:p w14:paraId="4C6C403C" w14:textId="77777777" w:rsidR="00D9330B" w:rsidRPr="00106886" w:rsidRDefault="00D9330B" w:rsidP="00286018">
            <w:pPr>
              <w:jc w:val="center"/>
              <w:rPr>
                <w:color w:val="000000" w:themeColor="text1"/>
              </w:rPr>
            </w:pPr>
            <w:r w:rsidRPr="00106886">
              <w:rPr>
                <w:color w:val="000000" w:themeColor="text1"/>
              </w:rPr>
              <w:t>1</w:t>
            </w:r>
            <w:r>
              <w:rPr>
                <w:color w:val="000000" w:themeColor="text1"/>
              </w:rPr>
              <w:t>.858</w:t>
            </w:r>
          </w:p>
        </w:tc>
        <w:tc>
          <w:tcPr>
            <w:tcW w:w="1008" w:type="dxa"/>
            <w:tcBorders>
              <w:top w:val="nil"/>
              <w:left w:val="nil"/>
              <w:bottom w:val="single" w:sz="4" w:space="0" w:color="auto"/>
              <w:right w:val="single" w:sz="4" w:space="0" w:color="auto"/>
            </w:tcBorders>
            <w:vAlign w:val="bottom"/>
          </w:tcPr>
          <w:p w14:paraId="6FE908DF" w14:textId="77777777" w:rsidR="00D9330B" w:rsidRPr="00106886" w:rsidRDefault="00D9330B" w:rsidP="00286018">
            <w:pPr>
              <w:jc w:val="center"/>
              <w:rPr>
                <w:color w:val="000000" w:themeColor="text1"/>
              </w:rPr>
            </w:pPr>
            <w:r>
              <w:rPr>
                <w:color w:val="000000" w:themeColor="text1"/>
              </w:rPr>
              <w:t>52,52</w:t>
            </w:r>
          </w:p>
        </w:tc>
      </w:tr>
      <w:tr w:rsidR="00D9330B" w:rsidRPr="00106886" w14:paraId="76231FF4" w14:textId="77777777" w:rsidTr="00286018">
        <w:trPr>
          <w:gridAfter w:val="1"/>
          <w:wAfter w:w="7" w:type="dxa"/>
          <w:trHeight w:val="240"/>
        </w:trPr>
        <w:tc>
          <w:tcPr>
            <w:tcW w:w="14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FB8F678" w14:textId="77777777" w:rsidR="00D9330B" w:rsidRPr="00106886" w:rsidRDefault="00D9330B" w:rsidP="00286018">
            <w:pPr>
              <w:rPr>
                <w:b/>
                <w:bCs/>
                <w:color w:val="000000"/>
              </w:rPr>
            </w:pPr>
            <w:r w:rsidRPr="00106886">
              <w:rPr>
                <w:b/>
                <w:bCs/>
                <w:color w:val="000000"/>
              </w:rPr>
              <w:t>Diğer Ülkelerdeki Üniversiteler</w:t>
            </w:r>
          </w:p>
        </w:tc>
        <w:tc>
          <w:tcPr>
            <w:tcW w:w="1313" w:type="dxa"/>
            <w:gridSpan w:val="2"/>
            <w:tcBorders>
              <w:top w:val="nil"/>
              <w:left w:val="nil"/>
              <w:bottom w:val="single" w:sz="4" w:space="0" w:color="auto"/>
              <w:right w:val="single" w:sz="4" w:space="0" w:color="auto"/>
            </w:tcBorders>
            <w:shd w:val="clear" w:color="auto" w:fill="FFFFFF" w:themeFill="background1"/>
            <w:vAlign w:val="bottom"/>
          </w:tcPr>
          <w:p w14:paraId="35D431B6" w14:textId="77777777" w:rsidR="00D9330B" w:rsidRPr="00106886" w:rsidRDefault="00D9330B" w:rsidP="00286018">
            <w:pPr>
              <w:jc w:val="center"/>
              <w:rPr>
                <w:color w:val="000000" w:themeColor="text1"/>
              </w:rPr>
            </w:pPr>
            <w:r w:rsidRPr="00106886">
              <w:rPr>
                <w:color w:val="000000" w:themeColor="text1"/>
              </w:rPr>
              <w:t>80</w:t>
            </w:r>
          </w:p>
        </w:tc>
        <w:tc>
          <w:tcPr>
            <w:tcW w:w="1056" w:type="dxa"/>
            <w:tcBorders>
              <w:top w:val="nil"/>
              <w:left w:val="nil"/>
              <w:bottom w:val="single" w:sz="4" w:space="0" w:color="auto"/>
              <w:right w:val="single" w:sz="4" w:space="0" w:color="auto"/>
            </w:tcBorders>
            <w:shd w:val="clear" w:color="auto" w:fill="FFFFFF" w:themeFill="background1"/>
            <w:noWrap/>
            <w:vAlign w:val="bottom"/>
            <w:hideMark/>
          </w:tcPr>
          <w:p w14:paraId="2883DDF9" w14:textId="77777777" w:rsidR="00D9330B" w:rsidRPr="00106886" w:rsidRDefault="00D9330B" w:rsidP="00286018">
            <w:pPr>
              <w:jc w:val="center"/>
              <w:rPr>
                <w:color w:val="000000" w:themeColor="text1"/>
              </w:rPr>
            </w:pPr>
            <w:r w:rsidRPr="00106886">
              <w:rPr>
                <w:color w:val="000000" w:themeColor="text1"/>
              </w:rPr>
              <w:t>80</w:t>
            </w:r>
          </w:p>
        </w:tc>
        <w:tc>
          <w:tcPr>
            <w:tcW w:w="1464" w:type="dxa"/>
            <w:gridSpan w:val="3"/>
            <w:tcBorders>
              <w:top w:val="nil"/>
              <w:left w:val="nil"/>
              <w:bottom w:val="single" w:sz="4" w:space="0" w:color="auto"/>
              <w:right w:val="single" w:sz="4" w:space="0" w:color="auto"/>
            </w:tcBorders>
            <w:shd w:val="clear" w:color="auto" w:fill="FFFFFF" w:themeFill="background1"/>
            <w:noWrap/>
            <w:vAlign w:val="bottom"/>
            <w:hideMark/>
          </w:tcPr>
          <w:p w14:paraId="65E75E8A" w14:textId="77777777" w:rsidR="00D9330B" w:rsidRPr="00106886" w:rsidRDefault="00D9330B" w:rsidP="00286018">
            <w:pPr>
              <w:jc w:val="center"/>
              <w:rPr>
                <w:color w:val="000000" w:themeColor="text1"/>
              </w:rPr>
            </w:pPr>
            <w:r w:rsidRPr="00106886">
              <w:rPr>
                <w:color w:val="000000" w:themeColor="text1"/>
              </w:rPr>
              <w:t>0</w:t>
            </w:r>
          </w:p>
        </w:tc>
        <w:tc>
          <w:tcPr>
            <w:tcW w:w="1058" w:type="dxa"/>
            <w:tcBorders>
              <w:top w:val="nil"/>
              <w:left w:val="nil"/>
              <w:bottom w:val="single" w:sz="4" w:space="0" w:color="auto"/>
              <w:right w:val="single" w:sz="4" w:space="0" w:color="auto"/>
            </w:tcBorders>
            <w:shd w:val="clear" w:color="auto" w:fill="FFFFFF" w:themeFill="background1"/>
            <w:noWrap/>
            <w:vAlign w:val="bottom"/>
            <w:hideMark/>
          </w:tcPr>
          <w:p w14:paraId="7822C01A" w14:textId="77777777" w:rsidR="00D9330B" w:rsidRPr="00106886" w:rsidRDefault="00D9330B" w:rsidP="00286018">
            <w:pPr>
              <w:jc w:val="center"/>
              <w:rPr>
                <w:color w:val="000000" w:themeColor="text1"/>
              </w:rPr>
            </w:pPr>
            <w:r w:rsidRPr="00106886">
              <w:rPr>
                <w:color w:val="000000" w:themeColor="text1"/>
              </w:rPr>
              <w:t>100,00</w:t>
            </w:r>
          </w:p>
        </w:tc>
        <w:tc>
          <w:tcPr>
            <w:tcW w:w="1143" w:type="dxa"/>
            <w:tcBorders>
              <w:top w:val="nil"/>
              <w:left w:val="nil"/>
              <w:bottom w:val="single" w:sz="4" w:space="0" w:color="auto"/>
              <w:right w:val="single" w:sz="4" w:space="0" w:color="auto"/>
            </w:tcBorders>
            <w:vAlign w:val="bottom"/>
          </w:tcPr>
          <w:p w14:paraId="68309BD4" w14:textId="77777777" w:rsidR="00D9330B" w:rsidRPr="00106886" w:rsidRDefault="00D9330B" w:rsidP="00286018">
            <w:pPr>
              <w:jc w:val="center"/>
              <w:rPr>
                <w:color w:val="000000" w:themeColor="text1"/>
              </w:rPr>
            </w:pPr>
            <w:r w:rsidRPr="00106886">
              <w:rPr>
                <w:color w:val="000000" w:themeColor="text1"/>
              </w:rPr>
              <w:t>80</w:t>
            </w:r>
          </w:p>
        </w:tc>
        <w:tc>
          <w:tcPr>
            <w:tcW w:w="1037" w:type="dxa"/>
            <w:tcBorders>
              <w:top w:val="nil"/>
              <w:left w:val="nil"/>
              <w:bottom w:val="single" w:sz="4" w:space="0" w:color="auto"/>
              <w:right w:val="single" w:sz="4" w:space="0" w:color="auto"/>
            </w:tcBorders>
            <w:vAlign w:val="bottom"/>
          </w:tcPr>
          <w:p w14:paraId="2BD713EB" w14:textId="77777777" w:rsidR="00D9330B" w:rsidRPr="00106886" w:rsidRDefault="00D9330B" w:rsidP="00286018">
            <w:pPr>
              <w:jc w:val="center"/>
              <w:rPr>
                <w:color w:val="000000" w:themeColor="text1"/>
              </w:rPr>
            </w:pPr>
            <w:r w:rsidRPr="00106886">
              <w:rPr>
                <w:color w:val="000000" w:themeColor="text1"/>
              </w:rPr>
              <w:t>80</w:t>
            </w:r>
          </w:p>
        </w:tc>
        <w:tc>
          <w:tcPr>
            <w:tcW w:w="931" w:type="dxa"/>
            <w:tcBorders>
              <w:top w:val="nil"/>
              <w:left w:val="nil"/>
              <w:bottom w:val="single" w:sz="4" w:space="0" w:color="auto"/>
              <w:right w:val="single" w:sz="4" w:space="0" w:color="auto"/>
            </w:tcBorders>
            <w:vAlign w:val="bottom"/>
          </w:tcPr>
          <w:p w14:paraId="7523FA88" w14:textId="77777777" w:rsidR="00D9330B" w:rsidRPr="00106886" w:rsidRDefault="00D9330B" w:rsidP="00286018">
            <w:pPr>
              <w:jc w:val="center"/>
              <w:rPr>
                <w:color w:val="000000" w:themeColor="text1"/>
              </w:rPr>
            </w:pPr>
            <w:r w:rsidRPr="00106886">
              <w:rPr>
                <w:color w:val="000000" w:themeColor="text1"/>
              </w:rPr>
              <w:t>0</w:t>
            </w:r>
          </w:p>
        </w:tc>
        <w:tc>
          <w:tcPr>
            <w:tcW w:w="1008" w:type="dxa"/>
            <w:tcBorders>
              <w:top w:val="nil"/>
              <w:left w:val="nil"/>
              <w:bottom w:val="single" w:sz="4" w:space="0" w:color="auto"/>
              <w:right w:val="single" w:sz="4" w:space="0" w:color="auto"/>
            </w:tcBorders>
            <w:vAlign w:val="bottom"/>
          </w:tcPr>
          <w:p w14:paraId="004F1D49" w14:textId="77777777" w:rsidR="00D9330B" w:rsidRPr="00106886" w:rsidRDefault="00D9330B" w:rsidP="00286018">
            <w:pPr>
              <w:jc w:val="center"/>
              <w:rPr>
                <w:color w:val="000000" w:themeColor="text1"/>
              </w:rPr>
            </w:pPr>
            <w:r w:rsidRPr="00106886">
              <w:rPr>
                <w:color w:val="000000" w:themeColor="text1"/>
              </w:rPr>
              <w:t>100,00</w:t>
            </w:r>
          </w:p>
        </w:tc>
      </w:tr>
      <w:tr w:rsidR="00D9330B" w:rsidRPr="00106886" w14:paraId="24FEA0B0" w14:textId="77777777" w:rsidTr="00286018">
        <w:trPr>
          <w:gridAfter w:val="1"/>
          <w:wAfter w:w="7" w:type="dxa"/>
          <w:trHeight w:val="355"/>
        </w:trPr>
        <w:tc>
          <w:tcPr>
            <w:tcW w:w="14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8DDAD0" w14:textId="77777777" w:rsidR="00D9330B" w:rsidRPr="00106886" w:rsidRDefault="00D9330B" w:rsidP="00286018">
            <w:pPr>
              <w:rPr>
                <w:b/>
                <w:bCs/>
                <w:color w:val="000000"/>
              </w:rPr>
            </w:pPr>
            <w:r w:rsidRPr="00106886">
              <w:rPr>
                <w:b/>
                <w:bCs/>
                <w:color w:val="000000"/>
              </w:rPr>
              <w:t>Toplam</w:t>
            </w:r>
          </w:p>
        </w:tc>
        <w:tc>
          <w:tcPr>
            <w:tcW w:w="1313"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29103980" w14:textId="77777777" w:rsidR="00D9330B" w:rsidRPr="00106886" w:rsidRDefault="00D9330B" w:rsidP="00286018">
            <w:pPr>
              <w:jc w:val="center"/>
              <w:rPr>
                <w:b/>
                <w:color w:val="000000" w:themeColor="text1"/>
              </w:rPr>
            </w:pPr>
            <w:r>
              <w:rPr>
                <w:b/>
                <w:color w:val="000000" w:themeColor="text1"/>
              </w:rPr>
              <w:t>380.172</w:t>
            </w:r>
          </w:p>
        </w:tc>
        <w:tc>
          <w:tcPr>
            <w:tcW w:w="1056" w:type="dxa"/>
            <w:tcBorders>
              <w:top w:val="nil"/>
              <w:left w:val="nil"/>
              <w:bottom w:val="single" w:sz="4" w:space="0" w:color="auto"/>
              <w:right w:val="single" w:sz="4" w:space="0" w:color="auto"/>
            </w:tcBorders>
            <w:shd w:val="clear" w:color="auto" w:fill="F2F2F2" w:themeFill="background1" w:themeFillShade="F2"/>
            <w:noWrap/>
            <w:vAlign w:val="bottom"/>
            <w:hideMark/>
          </w:tcPr>
          <w:p w14:paraId="6E7AB877" w14:textId="77777777" w:rsidR="00D9330B" w:rsidRPr="00106886" w:rsidRDefault="00D9330B" w:rsidP="00286018">
            <w:pPr>
              <w:jc w:val="center"/>
              <w:rPr>
                <w:b/>
                <w:color w:val="000000" w:themeColor="text1"/>
              </w:rPr>
            </w:pPr>
            <w:r w:rsidRPr="00106886">
              <w:rPr>
                <w:b/>
                <w:color w:val="000000" w:themeColor="text1"/>
              </w:rPr>
              <w:t>349.</w:t>
            </w:r>
            <w:r>
              <w:rPr>
                <w:b/>
                <w:color w:val="000000" w:themeColor="text1"/>
              </w:rPr>
              <w:t>785</w:t>
            </w:r>
          </w:p>
        </w:tc>
        <w:tc>
          <w:tcPr>
            <w:tcW w:w="1464" w:type="dxa"/>
            <w:gridSpan w:val="3"/>
            <w:tcBorders>
              <w:top w:val="nil"/>
              <w:left w:val="nil"/>
              <w:bottom w:val="single" w:sz="4" w:space="0" w:color="auto"/>
              <w:right w:val="single" w:sz="4" w:space="0" w:color="auto"/>
            </w:tcBorders>
            <w:shd w:val="clear" w:color="auto" w:fill="F2F2F2" w:themeFill="background1" w:themeFillShade="F2"/>
            <w:noWrap/>
            <w:vAlign w:val="bottom"/>
            <w:hideMark/>
          </w:tcPr>
          <w:p w14:paraId="7503ACAE" w14:textId="77777777" w:rsidR="00D9330B" w:rsidRPr="00106886" w:rsidRDefault="00D9330B" w:rsidP="00286018">
            <w:pPr>
              <w:jc w:val="center"/>
              <w:rPr>
                <w:b/>
                <w:color w:val="000000" w:themeColor="text1"/>
              </w:rPr>
            </w:pPr>
            <w:r>
              <w:rPr>
                <w:b/>
                <w:color w:val="000000" w:themeColor="text1"/>
              </w:rPr>
              <w:t>30.387</w:t>
            </w:r>
          </w:p>
        </w:tc>
        <w:tc>
          <w:tcPr>
            <w:tcW w:w="1058" w:type="dxa"/>
            <w:tcBorders>
              <w:top w:val="nil"/>
              <w:left w:val="nil"/>
              <w:bottom w:val="single" w:sz="4" w:space="0" w:color="auto"/>
              <w:right w:val="single" w:sz="4" w:space="0" w:color="auto"/>
            </w:tcBorders>
            <w:shd w:val="clear" w:color="auto" w:fill="F2F2F2" w:themeFill="background1" w:themeFillShade="F2"/>
            <w:noWrap/>
            <w:vAlign w:val="bottom"/>
            <w:hideMark/>
          </w:tcPr>
          <w:p w14:paraId="29048E5E" w14:textId="77777777" w:rsidR="00D9330B" w:rsidRPr="00106886" w:rsidRDefault="00D9330B" w:rsidP="00286018">
            <w:pPr>
              <w:jc w:val="center"/>
              <w:rPr>
                <w:b/>
                <w:color w:val="000000" w:themeColor="text1"/>
              </w:rPr>
            </w:pPr>
            <w:r>
              <w:rPr>
                <w:b/>
                <w:color w:val="000000" w:themeColor="text1"/>
              </w:rPr>
              <w:t>%92,00</w:t>
            </w:r>
          </w:p>
        </w:tc>
        <w:tc>
          <w:tcPr>
            <w:tcW w:w="1143" w:type="dxa"/>
            <w:tcBorders>
              <w:top w:val="nil"/>
              <w:left w:val="nil"/>
              <w:bottom w:val="single" w:sz="4" w:space="0" w:color="auto"/>
              <w:right w:val="single" w:sz="4" w:space="0" w:color="auto"/>
            </w:tcBorders>
            <w:shd w:val="clear" w:color="auto" w:fill="F2F2F2" w:themeFill="background1" w:themeFillShade="F2"/>
            <w:vAlign w:val="bottom"/>
          </w:tcPr>
          <w:p w14:paraId="2ED66911" w14:textId="77777777" w:rsidR="00D9330B" w:rsidRPr="00106886" w:rsidRDefault="00D9330B" w:rsidP="00286018">
            <w:pPr>
              <w:jc w:val="center"/>
              <w:rPr>
                <w:b/>
                <w:color w:val="000000" w:themeColor="text1"/>
              </w:rPr>
            </w:pPr>
            <w:r>
              <w:rPr>
                <w:b/>
                <w:color w:val="000000" w:themeColor="text1"/>
              </w:rPr>
              <w:t>376.940</w:t>
            </w:r>
          </w:p>
        </w:tc>
        <w:tc>
          <w:tcPr>
            <w:tcW w:w="1037" w:type="dxa"/>
            <w:tcBorders>
              <w:top w:val="nil"/>
              <w:left w:val="nil"/>
              <w:bottom w:val="single" w:sz="4" w:space="0" w:color="auto"/>
              <w:right w:val="single" w:sz="4" w:space="0" w:color="auto"/>
            </w:tcBorders>
            <w:shd w:val="clear" w:color="auto" w:fill="F2F2F2" w:themeFill="background1" w:themeFillShade="F2"/>
            <w:vAlign w:val="bottom"/>
          </w:tcPr>
          <w:p w14:paraId="72897E80" w14:textId="77777777" w:rsidR="00D9330B" w:rsidRPr="00106886" w:rsidRDefault="00D9330B" w:rsidP="00286018">
            <w:pPr>
              <w:jc w:val="center"/>
              <w:rPr>
                <w:b/>
                <w:color w:val="000000" w:themeColor="text1"/>
              </w:rPr>
            </w:pPr>
            <w:r>
              <w:rPr>
                <w:b/>
                <w:color w:val="000000" w:themeColor="text1"/>
              </w:rPr>
              <w:t>343.874</w:t>
            </w:r>
          </w:p>
        </w:tc>
        <w:tc>
          <w:tcPr>
            <w:tcW w:w="931" w:type="dxa"/>
            <w:tcBorders>
              <w:top w:val="nil"/>
              <w:left w:val="nil"/>
              <w:bottom w:val="single" w:sz="4" w:space="0" w:color="auto"/>
              <w:right w:val="single" w:sz="4" w:space="0" w:color="auto"/>
            </w:tcBorders>
            <w:shd w:val="clear" w:color="auto" w:fill="F2F2F2" w:themeFill="background1" w:themeFillShade="F2"/>
            <w:vAlign w:val="bottom"/>
          </w:tcPr>
          <w:p w14:paraId="1FC6DFBA" w14:textId="77777777" w:rsidR="00D9330B" w:rsidRPr="00106886" w:rsidRDefault="00D9330B" w:rsidP="00286018">
            <w:pPr>
              <w:jc w:val="center"/>
              <w:rPr>
                <w:b/>
                <w:color w:val="000000" w:themeColor="text1"/>
              </w:rPr>
            </w:pPr>
            <w:r>
              <w:rPr>
                <w:b/>
                <w:color w:val="000000" w:themeColor="text1"/>
              </w:rPr>
              <w:t>33.066</w:t>
            </w:r>
          </w:p>
        </w:tc>
        <w:tc>
          <w:tcPr>
            <w:tcW w:w="1008" w:type="dxa"/>
            <w:tcBorders>
              <w:top w:val="nil"/>
              <w:left w:val="nil"/>
              <w:bottom w:val="single" w:sz="4" w:space="0" w:color="auto"/>
              <w:right w:val="single" w:sz="4" w:space="0" w:color="auto"/>
            </w:tcBorders>
            <w:shd w:val="clear" w:color="auto" w:fill="F2F2F2" w:themeFill="background1" w:themeFillShade="F2"/>
            <w:vAlign w:val="bottom"/>
          </w:tcPr>
          <w:p w14:paraId="2B81935A" w14:textId="77777777" w:rsidR="00D9330B" w:rsidRPr="00106886" w:rsidRDefault="00D9330B" w:rsidP="00286018">
            <w:pPr>
              <w:jc w:val="center"/>
              <w:rPr>
                <w:b/>
                <w:color w:val="000000" w:themeColor="text1"/>
              </w:rPr>
            </w:pPr>
            <w:r>
              <w:rPr>
                <w:b/>
                <w:color w:val="000000" w:themeColor="text1"/>
              </w:rPr>
              <w:t>91,23</w:t>
            </w:r>
          </w:p>
        </w:tc>
      </w:tr>
    </w:tbl>
    <w:p w14:paraId="5767543B" w14:textId="77777777" w:rsidR="00D9330B" w:rsidRDefault="00D9330B" w:rsidP="00D9330B">
      <w:pPr>
        <w:pStyle w:val="NormalWeb"/>
        <w:spacing w:line="360" w:lineRule="auto"/>
      </w:pPr>
    </w:p>
    <w:p w14:paraId="32174289" w14:textId="77777777" w:rsidR="00D9330B" w:rsidRDefault="00D9330B" w:rsidP="00D9330B">
      <w:pPr>
        <w:pStyle w:val="NormalWeb"/>
        <w:spacing w:line="360" w:lineRule="auto"/>
        <w:jc w:val="both"/>
      </w:pPr>
      <w:r>
        <w:t xml:space="preserve">Yukarıdaki tablo analiz edildiğinde ilk yerleştirmelerde; 2019 yılı lisans programlarının toplam doluluk oranı </w:t>
      </w:r>
      <w:r w:rsidRPr="0043156E">
        <w:rPr>
          <w:b/>
        </w:rPr>
        <w:t>%91,47</w:t>
      </w:r>
      <w:r>
        <w:t xml:space="preserve"> iken 2020 yılında bu oran </w:t>
      </w:r>
      <w:r w:rsidRPr="0043156E">
        <w:rPr>
          <w:b/>
        </w:rPr>
        <w:t>%94,18’e</w:t>
      </w:r>
      <w:r>
        <w:t xml:space="preserve"> çıkmıştır. Aynı durum </w:t>
      </w:r>
      <w:proofErr w:type="spellStart"/>
      <w:r>
        <w:t>önlisans</w:t>
      </w:r>
      <w:proofErr w:type="spellEnd"/>
      <w:r>
        <w:t xml:space="preserve"> programları için de geçerlidir, bu yıl </w:t>
      </w:r>
      <w:proofErr w:type="spellStart"/>
      <w:r>
        <w:t>önlisans</w:t>
      </w:r>
      <w:proofErr w:type="spellEnd"/>
      <w:r>
        <w:t xml:space="preserve"> programlarının da doluluk oranı artmış ve </w:t>
      </w:r>
      <w:r w:rsidRPr="0043156E">
        <w:rPr>
          <w:b/>
        </w:rPr>
        <w:t>%92,00</w:t>
      </w:r>
      <w:r>
        <w:t xml:space="preserve"> olarak gerçekleşmiştir. </w:t>
      </w:r>
    </w:p>
    <w:p w14:paraId="41605936" w14:textId="77777777" w:rsidR="00D9330B" w:rsidRDefault="00D9330B" w:rsidP="00D9330B">
      <w:pPr>
        <w:pStyle w:val="NormalWeb"/>
        <w:spacing w:line="360" w:lineRule="auto"/>
        <w:jc w:val="both"/>
      </w:pPr>
      <w:r>
        <w:t xml:space="preserve">Diğer bir ifade ile bir önceki tabloda görülen Devlet, Vakıf, KKTC üniversitelerindeki doluluk oranlarının ve aynı zamanda yerleşen sayılarındaki artışların alt </w:t>
      </w:r>
      <w:proofErr w:type="spellStart"/>
      <w:r>
        <w:t>kırılımları</w:t>
      </w:r>
      <w:proofErr w:type="spellEnd"/>
      <w:r>
        <w:t xml:space="preserve"> da aynı başarıyı göstermektedir. Yani Devlet, Vakıf, KKTC’deki üniversitelerin hem lisans hem de </w:t>
      </w:r>
      <w:proofErr w:type="spellStart"/>
      <w:r>
        <w:t>önlisans</w:t>
      </w:r>
      <w:proofErr w:type="spellEnd"/>
      <w:r>
        <w:t xml:space="preserve"> programlarındaki yerleşen sayılarında ciddi bir artış söz konusudur. </w:t>
      </w:r>
    </w:p>
    <w:p w14:paraId="284B457C" w14:textId="77777777" w:rsidR="00D9330B" w:rsidRDefault="00D9330B" w:rsidP="00D9330B">
      <w:pPr>
        <w:pStyle w:val="NormalWeb"/>
        <w:spacing w:line="360" w:lineRule="auto"/>
        <w:jc w:val="both"/>
        <w:rPr>
          <w:rFonts w:ascii="TimesNewRomanPS" w:hAnsi="TimesNewRomanPS"/>
          <w:b/>
          <w:bCs/>
        </w:rPr>
      </w:pPr>
    </w:p>
    <w:p w14:paraId="6AB569DB" w14:textId="77777777" w:rsidR="00D9330B" w:rsidRDefault="00D9330B" w:rsidP="00D9330B">
      <w:pPr>
        <w:pStyle w:val="NormalWeb"/>
        <w:spacing w:line="360" w:lineRule="auto"/>
        <w:jc w:val="both"/>
        <w:rPr>
          <w:rFonts w:ascii="TimesNewRomanPS" w:hAnsi="TimesNewRomanPS"/>
          <w:b/>
          <w:bCs/>
        </w:rPr>
      </w:pPr>
      <w:r>
        <w:rPr>
          <w:rFonts w:ascii="TimesNewRomanPS" w:hAnsi="TimesNewRomanPS"/>
          <w:b/>
          <w:bCs/>
        </w:rPr>
        <w:lastRenderedPageBreak/>
        <w:t xml:space="preserve">Taban </w:t>
      </w:r>
      <w:proofErr w:type="spellStart"/>
      <w:r>
        <w:rPr>
          <w:rFonts w:ascii="TimesNewRomanPS" w:hAnsi="TimesNewRomanPS"/>
          <w:b/>
          <w:bCs/>
        </w:rPr>
        <w:t>başarı</w:t>
      </w:r>
      <w:proofErr w:type="spellEnd"/>
      <w:r>
        <w:rPr>
          <w:rFonts w:ascii="TimesNewRomanPS" w:hAnsi="TimesNewRomanPS"/>
          <w:b/>
          <w:bCs/>
        </w:rPr>
        <w:t xml:space="preserve"> sıralaması </w:t>
      </w:r>
      <w:proofErr w:type="spellStart"/>
      <w:r>
        <w:rPr>
          <w:rFonts w:ascii="TimesNewRomanPS" w:hAnsi="TimesNewRomanPS"/>
          <w:b/>
          <w:bCs/>
        </w:rPr>
        <w:t>şartı</w:t>
      </w:r>
      <w:proofErr w:type="spellEnd"/>
      <w:r>
        <w:rPr>
          <w:rFonts w:ascii="TimesNewRomanPS" w:hAnsi="TimesNewRomanPS"/>
          <w:b/>
          <w:bCs/>
        </w:rPr>
        <w:t xml:space="preserve"> aranan bazı programlarla ilgili </w:t>
      </w:r>
      <w:proofErr w:type="spellStart"/>
      <w:r>
        <w:rPr>
          <w:rFonts w:ascii="TimesNewRomanPS" w:hAnsi="TimesNewRomanPS"/>
          <w:b/>
          <w:bCs/>
        </w:rPr>
        <w:t>değerlendirme</w:t>
      </w:r>
      <w:proofErr w:type="spellEnd"/>
      <w:r>
        <w:rPr>
          <w:rFonts w:ascii="TimesNewRomanPS" w:hAnsi="TimesNewRomanPS"/>
          <w:b/>
          <w:bCs/>
        </w:rPr>
        <w:t xml:space="preserve"> </w:t>
      </w:r>
      <w:proofErr w:type="spellStart"/>
      <w:r>
        <w:rPr>
          <w:rFonts w:ascii="TimesNewRomanPS" w:hAnsi="TimesNewRomanPS"/>
          <w:b/>
          <w:bCs/>
        </w:rPr>
        <w:t>yapıldığında</w:t>
      </w:r>
      <w:proofErr w:type="spellEnd"/>
      <w:r>
        <w:rPr>
          <w:rFonts w:ascii="TimesNewRomanPS" w:hAnsi="TimesNewRomanPS"/>
          <w:b/>
          <w:bCs/>
        </w:rPr>
        <w:t>;</w:t>
      </w:r>
    </w:p>
    <w:p w14:paraId="4CAADF28" w14:textId="77777777" w:rsidR="00D9330B" w:rsidRPr="00210CB6" w:rsidRDefault="00D9330B" w:rsidP="00D9330B">
      <w:pPr>
        <w:pStyle w:val="NormalWeb"/>
        <w:numPr>
          <w:ilvl w:val="0"/>
          <w:numId w:val="3"/>
        </w:numPr>
        <w:spacing w:line="360" w:lineRule="auto"/>
        <w:jc w:val="both"/>
        <w:rPr>
          <w:color w:val="C00000"/>
        </w:rPr>
      </w:pPr>
      <w:r w:rsidRPr="00210CB6">
        <w:rPr>
          <w:rFonts w:ascii="TimesNewRomanPS" w:hAnsi="TimesNewRomanPS"/>
          <w:b/>
          <w:bCs/>
        </w:rPr>
        <w:t>Tıp</w:t>
      </w:r>
      <w:r>
        <w:rPr>
          <w:rFonts w:ascii="TimesNewRomanPS" w:hAnsi="TimesNewRomanPS"/>
        </w:rPr>
        <w:t xml:space="preserve"> programında 2019 yılı</w:t>
      </w:r>
      <w:r w:rsidRPr="00210CB6">
        <w:rPr>
          <w:rFonts w:ascii="TimesNewRomanPS" w:hAnsi="TimesNewRomanPS"/>
        </w:rPr>
        <w:t xml:space="preserve">nda toplam </w:t>
      </w:r>
      <w:r w:rsidRPr="0043156E">
        <w:rPr>
          <w:rFonts w:ascii="TimesNewRomanPS" w:hAnsi="TimesNewRomanPS"/>
          <w:b/>
        </w:rPr>
        <w:t>15.398</w:t>
      </w:r>
      <w:r w:rsidRPr="00210CB6">
        <w:rPr>
          <w:rFonts w:ascii="TimesNewRomanPS" w:hAnsi="TimesNewRomanPS"/>
        </w:rPr>
        <w:t xml:space="preserve"> kontenjanın </w:t>
      </w:r>
      <w:r w:rsidRPr="0043156E">
        <w:rPr>
          <w:rFonts w:ascii="TimesNewRomanPS" w:hAnsi="TimesNewRomanPS"/>
          <w:b/>
        </w:rPr>
        <w:t>15.309’u</w:t>
      </w:r>
      <w:r w:rsidRPr="00210CB6">
        <w:rPr>
          <w:rFonts w:ascii="TimesNewRomanPS" w:hAnsi="TimesNewRomanPS"/>
        </w:rPr>
        <w:t xml:space="preserve"> dolmuştu. Dolmayan konte</w:t>
      </w:r>
      <w:r>
        <w:rPr>
          <w:rFonts w:ascii="TimesNewRomanPS" w:hAnsi="TimesNewRomanPS"/>
        </w:rPr>
        <w:t>n</w:t>
      </w:r>
      <w:r w:rsidRPr="00210CB6">
        <w:rPr>
          <w:rFonts w:ascii="TimesNewRomanPS" w:hAnsi="TimesNewRomanPS"/>
        </w:rPr>
        <w:t xml:space="preserve">janların KKTC üniversitelerinde olduğu görülmüştü. 2020 yılında ise </w:t>
      </w:r>
      <w:r w:rsidRPr="0043156E">
        <w:rPr>
          <w:rFonts w:ascii="TimesNewRomanPS" w:hAnsi="TimesNewRomanPS"/>
          <w:b/>
        </w:rPr>
        <w:t>16.818</w:t>
      </w:r>
      <w:r w:rsidRPr="00210CB6">
        <w:rPr>
          <w:rFonts w:ascii="TimesNewRomanPS" w:hAnsi="TimesNewRomanPS"/>
        </w:rPr>
        <w:t xml:space="preserve"> kontenjanın </w:t>
      </w:r>
      <w:r w:rsidRPr="0043156E">
        <w:rPr>
          <w:rFonts w:ascii="TimesNewRomanPS" w:hAnsi="TimesNewRomanPS"/>
          <w:b/>
        </w:rPr>
        <w:t>16.771’i</w:t>
      </w:r>
      <w:r w:rsidRPr="00210CB6">
        <w:rPr>
          <w:rFonts w:ascii="TimesNewRomanPS" w:hAnsi="TimesNewRomanPS"/>
        </w:rPr>
        <w:t xml:space="preserve"> do</w:t>
      </w:r>
      <w:r>
        <w:rPr>
          <w:rFonts w:ascii="TimesNewRomanPS" w:hAnsi="TimesNewRomanPS"/>
        </w:rPr>
        <w:t xml:space="preserve">lmuştur. Dolmayan kontenjanlar </w:t>
      </w:r>
      <w:r w:rsidRPr="00210CB6">
        <w:rPr>
          <w:rFonts w:ascii="TimesNewRomanPS" w:hAnsi="TimesNewRomanPS"/>
        </w:rPr>
        <w:t>Vakıf ve KKTC üniver</w:t>
      </w:r>
      <w:r>
        <w:rPr>
          <w:rFonts w:ascii="TimesNewRomanPS" w:hAnsi="TimesNewRomanPS"/>
        </w:rPr>
        <w:t>sitelerindedir</w:t>
      </w:r>
      <w:r w:rsidRPr="00210CB6">
        <w:rPr>
          <w:rFonts w:ascii="TimesNewRomanPS" w:hAnsi="TimesNewRomanPS"/>
        </w:rPr>
        <w:t xml:space="preserve">. </w:t>
      </w:r>
    </w:p>
    <w:p w14:paraId="523FF140" w14:textId="77777777" w:rsidR="00D9330B" w:rsidRDefault="00D9330B" w:rsidP="00D9330B">
      <w:pPr>
        <w:pStyle w:val="NormalWeb"/>
        <w:numPr>
          <w:ilvl w:val="0"/>
          <w:numId w:val="3"/>
        </w:numPr>
        <w:spacing w:line="360" w:lineRule="auto"/>
        <w:jc w:val="both"/>
      </w:pPr>
      <w:r w:rsidRPr="00210CB6">
        <w:rPr>
          <w:rFonts w:ascii="TimesNewRomanPS" w:hAnsi="TimesNewRomanPS"/>
          <w:b/>
          <w:bCs/>
        </w:rPr>
        <w:t>Hukuk</w:t>
      </w:r>
      <w:r w:rsidRPr="00210CB6">
        <w:rPr>
          <w:rFonts w:ascii="TimesNewRomanPS" w:hAnsi="TimesNewRomanPS"/>
        </w:rPr>
        <w:t xml:space="preserve"> programında 2019 yılında toplam </w:t>
      </w:r>
      <w:r w:rsidRPr="0043156E">
        <w:rPr>
          <w:rFonts w:ascii="TimesNewRomanPS" w:hAnsi="TimesNewRomanPS"/>
          <w:b/>
        </w:rPr>
        <w:t>16.340</w:t>
      </w:r>
      <w:r w:rsidRPr="00210CB6">
        <w:rPr>
          <w:rFonts w:ascii="TimesNewRomanPS" w:hAnsi="TimesNewRomanPS"/>
        </w:rPr>
        <w:t xml:space="preserve"> kontenjanın </w:t>
      </w:r>
      <w:r w:rsidRPr="0043156E">
        <w:rPr>
          <w:rFonts w:ascii="TimesNewRomanPS" w:hAnsi="TimesNewRomanPS"/>
          <w:b/>
        </w:rPr>
        <w:t>15.721’i</w:t>
      </w:r>
      <w:r w:rsidRPr="00210CB6">
        <w:rPr>
          <w:rFonts w:ascii="TimesNewRomanPS" w:hAnsi="TimesNewRomanPS"/>
        </w:rPr>
        <w:t xml:space="preserve"> dolmuş, </w:t>
      </w:r>
      <w:r w:rsidRPr="0043156E">
        <w:rPr>
          <w:rFonts w:ascii="TimesNewRomanPS" w:hAnsi="TimesNewRomanPS"/>
          <w:b/>
        </w:rPr>
        <w:t>619’u</w:t>
      </w:r>
      <w:r w:rsidRPr="00210CB6">
        <w:rPr>
          <w:rFonts w:ascii="TimesNewRomanPS" w:hAnsi="TimesNewRomanPS"/>
        </w:rPr>
        <w:t xml:space="preserve"> boş</w:t>
      </w:r>
      <w:r>
        <w:rPr>
          <w:rFonts w:ascii="TimesNewRomanPS" w:hAnsi="TimesNewRomanPS"/>
        </w:rPr>
        <w:t xml:space="preserve"> kalmıştı. Bu boş kontenjanlar </w:t>
      </w:r>
      <w:r w:rsidRPr="00210CB6">
        <w:rPr>
          <w:rFonts w:ascii="TimesNewRomanPS" w:hAnsi="TimesNewRomanPS"/>
        </w:rPr>
        <w:t>Vakıf ve KKTC üniversitelerinde idi.</w:t>
      </w:r>
      <w:r w:rsidRPr="00210CB6">
        <w:t xml:space="preserve"> 2020 yılında ise </w:t>
      </w:r>
      <w:r w:rsidRPr="0043156E">
        <w:rPr>
          <w:b/>
        </w:rPr>
        <w:t>16.580</w:t>
      </w:r>
      <w:r w:rsidRPr="00210CB6">
        <w:t xml:space="preserve"> olan kontenjanın </w:t>
      </w:r>
      <w:r w:rsidRPr="0043156E">
        <w:rPr>
          <w:b/>
        </w:rPr>
        <w:t>15.071’i</w:t>
      </w:r>
      <w:r w:rsidRPr="00210CB6">
        <w:t xml:space="preserve"> dolmuştur. Dolmayan </w:t>
      </w:r>
      <w:r w:rsidRPr="0043156E">
        <w:rPr>
          <w:b/>
        </w:rPr>
        <w:t>1509</w:t>
      </w:r>
      <w:r w:rsidRPr="00210CB6">
        <w:t xml:space="preserve"> kontenjanın </w:t>
      </w:r>
      <w:r w:rsidRPr="0043156E">
        <w:rPr>
          <w:b/>
        </w:rPr>
        <w:t>1051’</w:t>
      </w:r>
      <w:r w:rsidRPr="00210CB6">
        <w:t xml:space="preserve">i Vakıf, </w:t>
      </w:r>
      <w:r w:rsidRPr="0043156E">
        <w:rPr>
          <w:b/>
        </w:rPr>
        <w:t>380’i</w:t>
      </w:r>
      <w:r w:rsidRPr="00210CB6">
        <w:t xml:space="preserve"> KKTC, </w:t>
      </w:r>
      <w:r w:rsidRPr="0043156E">
        <w:rPr>
          <w:b/>
        </w:rPr>
        <w:t>78’i</w:t>
      </w:r>
      <w:r w:rsidRPr="00210CB6">
        <w:t xml:space="preserve"> ise Devlet üniversitelerindedir. Bu sonuç bu sene Hukuk programlarında başarı sıralaması şartının </w:t>
      </w:r>
      <w:r w:rsidRPr="0043156E">
        <w:rPr>
          <w:b/>
        </w:rPr>
        <w:t>190 binden 125 bine</w:t>
      </w:r>
      <w:r w:rsidRPr="00210CB6">
        <w:t xml:space="preserve"> çeki</w:t>
      </w:r>
      <w:r>
        <w:t>lmesinden kaynaklanmaktadır. S</w:t>
      </w:r>
      <w:r w:rsidRPr="00210CB6">
        <w:t>istemin</w:t>
      </w:r>
      <w:r>
        <w:t>,</w:t>
      </w:r>
      <w:r w:rsidRPr="00210CB6">
        <w:t xml:space="preserve"> kendi </w:t>
      </w:r>
      <w:r>
        <w:t xml:space="preserve">içine yedirilen </w:t>
      </w:r>
      <w:r w:rsidRPr="00210CB6">
        <w:t xml:space="preserve">başarı sıralaması şartı ile kontenjanları </w:t>
      </w:r>
      <w:r>
        <w:t xml:space="preserve">artık </w:t>
      </w:r>
      <w:r w:rsidRPr="00210CB6">
        <w:t xml:space="preserve">kendisinin ayarlamaya başladığının göstergesidir. Bilindiği üzere Yargı Reformu çerçevesinde başta Adalet Bakanlığımız olmak üzere </w:t>
      </w:r>
      <w:r>
        <w:t xml:space="preserve">Barolar Birliği, Hukuk Fakülteleri ve konunun </w:t>
      </w:r>
      <w:r w:rsidRPr="00210CB6">
        <w:t xml:space="preserve">ilgili </w:t>
      </w:r>
      <w:r>
        <w:t xml:space="preserve">bütün </w:t>
      </w:r>
      <w:r w:rsidRPr="00210CB6">
        <w:t>tarafları</w:t>
      </w:r>
      <w:r>
        <w:t xml:space="preserve">nca başarı sıralaması şartının daha yukarı çekilmesi </w:t>
      </w:r>
      <w:r w:rsidRPr="00210CB6">
        <w:t xml:space="preserve">yönünde görüş ifade </w:t>
      </w:r>
      <w:r>
        <w:t>edilmiş</w:t>
      </w:r>
      <w:r w:rsidRPr="00210CB6">
        <w:t xml:space="preserve"> ve Sayın Cumhurbaşkanımız tarafından da Yükseköğretim Kurulundan bu yönde bir düzenleme </w:t>
      </w:r>
      <w:r>
        <w:t xml:space="preserve">yapması </w:t>
      </w:r>
      <w:r w:rsidRPr="00210CB6">
        <w:t xml:space="preserve">talep edilmişti. Kamuoyunun </w:t>
      </w:r>
      <w:r>
        <w:t>da desteklediği başarı sıralaması şartındaki iyileştirme, kalite açısından girdi esaslı olumlu sonuçlar üretecektir.</w:t>
      </w:r>
    </w:p>
    <w:p w14:paraId="7A16F76B" w14:textId="77777777" w:rsidR="00D9330B" w:rsidRPr="001D3D51" w:rsidRDefault="00D9330B" w:rsidP="00D9330B">
      <w:pPr>
        <w:pStyle w:val="NormalWeb"/>
        <w:numPr>
          <w:ilvl w:val="0"/>
          <w:numId w:val="3"/>
        </w:numPr>
        <w:spacing w:line="360" w:lineRule="auto"/>
        <w:jc w:val="both"/>
      </w:pPr>
      <w:r w:rsidRPr="00210CB6">
        <w:rPr>
          <w:rFonts w:ascii="TimesNewRomanPS" w:hAnsi="TimesNewRomanPS"/>
          <w:b/>
          <w:bCs/>
        </w:rPr>
        <w:t>Mimarlık</w:t>
      </w:r>
      <w:r w:rsidRPr="001D3D51">
        <w:rPr>
          <w:rFonts w:ascii="TimesNewRomanPS" w:hAnsi="TimesNewRomanPS"/>
        </w:rPr>
        <w:t xml:space="preserve"> </w:t>
      </w:r>
      <w:proofErr w:type="gramStart"/>
      <w:r w:rsidRPr="001D3D51">
        <w:rPr>
          <w:rFonts w:ascii="TimesNewRomanPS" w:hAnsi="TimesNewRomanPS"/>
        </w:rPr>
        <w:t>programında  2019</w:t>
      </w:r>
      <w:proofErr w:type="gramEnd"/>
      <w:r w:rsidRPr="001D3D51">
        <w:rPr>
          <w:rFonts w:ascii="TimesNewRomanPS" w:hAnsi="TimesNewRomanPS"/>
        </w:rPr>
        <w:t xml:space="preserve"> yılında toplam </w:t>
      </w:r>
      <w:r w:rsidRPr="00B1570F">
        <w:rPr>
          <w:rFonts w:ascii="TimesNewRomanPS" w:hAnsi="TimesNewRomanPS"/>
          <w:b/>
        </w:rPr>
        <w:t>8</w:t>
      </w:r>
      <w:r w:rsidRPr="00B1570F">
        <w:rPr>
          <w:rFonts w:ascii="TimesNewRomanPS" w:hAnsi="TimesNewRomanPS"/>
          <w:b/>
          <w:bCs/>
        </w:rPr>
        <w:t>.</w:t>
      </w:r>
      <w:r w:rsidRPr="00B1570F">
        <w:rPr>
          <w:rFonts w:ascii="TimesNewRomanPS" w:hAnsi="TimesNewRomanPS"/>
          <w:b/>
        </w:rPr>
        <w:t>783</w:t>
      </w:r>
      <w:r w:rsidRPr="001D3D51">
        <w:rPr>
          <w:rFonts w:ascii="TimesNewRomanPS" w:hAnsi="TimesNewRomanPS"/>
        </w:rPr>
        <w:t xml:space="preserve"> kontenjanın </w:t>
      </w:r>
      <w:r w:rsidRPr="00B1570F">
        <w:rPr>
          <w:rFonts w:ascii="TimesNewRomanPS" w:hAnsi="TimesNewRomanPS"/>
          <w:b/>
        </w:rPr>
        <w:t>6</w:t>
      </w:r>
      <w:r w:rsidRPr="00B1570F">
        <w:rPr>
          <w:rFonts w:ascii="TimesNewRomanPS" w:hAnsi="TimesNewRomanPS"/>
          <w:b/>
          <w:bCs/>
        </w:rPr>
        <w:t>.</w:t>
      </w:r>
      <w:r w:rsidRPr="00B1570F">
        <w:rPr>
          <w:rFonts w:ascii="TimesNewRomanPS" w:hAnsi="TimesNewRomanPS"/>
          <w:b/>
        </w:rPr>
        <w:t>561’i</w:t>
      </w:r>
      <w:r w:rsidRPr="001D3D51">
        <w:rPr>
          <w:rFonts w:ascii="TimesNewRomanPS" w:hAnsi="TimesNewRomanPS"/>
        </w:rPr>
        <w:t xml:space="preserve"> dolmuştu. Dolmayan </w:t>
      </w:r>
      <w:r w:rsidRPr="00B1570F">
        <w:rPr>
          <w:rFonts w:ascii="TimesNewRomanPS" w:hAnsi="TimesNewRomanPS"/>
          <w:b/>
        </w:rPr>
        <w:t>2</w:t>
      </w:r>
      <w:r w:rsidRPr="00B1570F">
        <w:rPr>
          <w:rFonts w:ascii="TimesNewRomanPS" w:hAnsi="TimesNewRomanPS"/>
          <w:b/>
          <w:bCs/>
        </w:rPr>
        <w:t>.</w:t>
      </w:r>
      <w:r w:rsidRPr="00B1570F">
        <w:rPr>
          <w:rFonts w:ascii="TimesNewRomanPS" w:hAnsi="TimesNewRomanPS"/>
          <w:b/>
        </w:rPr>
        <w:t>222</w:t>
      </w:r>
      <w:r>
        <w:rPr>
          <w:rFonts w:ascii="TimesNewRomanPS" w:hAnsi="TimesNewRomanPS"/>
        </w:rPr>
        <w:t xml:space="preserve"> kontenjan</w:t>
      </w:r>
      <w:r w:rsidRPr="001D3D51">
        <w:rPr>
          <w:rFonts w:ascii="TimesNewRomanPS" w:hAnsi="TimesNewRomanPS"/>
        </w:rPr>
        <w:t xml:space="preserve"> sırası ile Vakıf, </w:t>
      </w:r>
      <w:r>
        <w:rPr>
          <w:rFonts w:ascii="TimesNewRomanPS" w:hAnsi="TimesNewRomanPS"/>
        </w:rPr>
        <w:t xml:space="preserve">KKTC </w:t>
      </w:r>
      <w:r w:rsidRPr="001D3D51">
        <w:rPr>
          <w:rFonts w:ascii="TimesNewRomanPS" w:hAnsi="TimesNewRomanPS"/>
        </w:rPr>
        <w:t xml:space="preserve">ve </w:t>
      </w:r>
      <w:r>
        <w:rPr>
          <w:rFonts w:ascii="TimesNewRomanPS" w:hAnsi="TimesNewRomanPS"/>
        </w:rPr>
        <w:t>Devlet</w:t>
      </w:r>
      <w:r w:rsidRPr="001D3D51">
        <w:rPr>
          <w:rFonts w:ascii="TimesNewRomanPS" w:hAnsi="TimesNewRomanPS"/>
        </w:rPr>
        <w:t xml:space="preserve"> üniversitelerinde idi. 2020 yılında </w:t>
      </w:r>
      <w:r w:rsidRPr="00B1570F">
        <w:rPr>
          <w:rFonts w:ascii="TimesNewRomanPS" w:hAnsi="TimesNewRomanPS"/>
          <w:b/>
        </w:rPr>
        <w:t>8.132</w:t>
      </w:r>
      <w:r w:rsidRPr="001D3D51">
        <w:rPr>
          <w:rFonts w:ascii="TimesNewRomanPS" w:hAnsi="TimesNewRomanPS"/>
        </w:rPr>
        <w:t xml:space="preserve"> kontenjanın </w:t>
      </w:r>
      <w:r w:rsidRPr="00B1570F">
        <w:rPr>
          <w:rFonts w:ascii="TimesNewRomanPS" w:hAnsi="TimesNewRomanPS"/>
          <w:b/>
        </w:rPr>
        <w:t>6.412’si</w:t>
      </w:r>
      <w:r w:rsidRPr="001D3D51">
        <w:rPr>
          <w:rFonts w:ascii="TimesNewRomanPS" w:hAnsi="TimesNewRomanPS"/>
        </w:rPr>
        <w:t xml:space="preserve"> dolmuştur. Dolmayan kontenjanlar </w:t>
      </w:r>
      <w:r w:rsidRPr="00B1570F">
        <w:rPr>
          <w:rFonts w:ascii="TimesNewRomanPS" w:hAnsi="TimesNewRomanPS"/>
          <w:b/>
        </w:rPr>
        <w:t>2.222’den</w:t>
      </w:r>
      <w:r w:rsidRPr="001D3D51">
        <w:rPr>
          <w:rFonts w:ascii="TimesNewRomanPS" w:hAnsi="TimesNewRomanPS"/>
        </w:rPr>
        <w:t xml:space="preserve"> </w:t>
      </w:r>
      <w:r w:rsidRPr="00B1570F">
        <w:rPr>
          <w:rFonts w:ascii="TimesNewRomanPS" w:hAnsi="TimesNewRomanPS"/>
          <w:b/>
        </w:rPr>
        <w:t>1.720’ye</w:t>
      </w:r>
      <w:r w:rsidRPr="001D3D51">
        <w:rPr>
          <w:rFonts w:ascii="TimesNewRomanPS" w:hAnsi="TimesNewRomanPS"/>
        </w:rPr>
        <w:t xml:space="preserve"> gerilemiştir. Bunlarda </w:t>
      </w:r>
      <w:r w:rsidRPr="00B1570F">
        <w:rPr>
          <w:rFonts w:ascii="TimesNewRomanPS" w:hAnsi="TimesNewRomanPS"/>
          <w:b/>
        </w:rPr>
        <w:t>827’si</w:t>
      </w:r>
      <w:r w:rsidRPr="001D3D51">
        <w:rPr>
          <w:rFonts w:ascii="TimesNewRomanPS" w:hAnsi="TimesNewRomanPS"/>
        </w:rPr>
        <w:t xml:space="preserve"> Vakıf, </w:t>
      </w:r>
      <w:r w:rsidRPr="00B1570F">
        <w:rPr>
          <w:rFonts w:ascii="TimesNewRomanPS" w:hAnsi="TimesNewRomanPS"/>
          <w:b/>
        </w:rPr>
        <w:t>537’</w:t>
      </w:r>
      <w:r w:rsidRPr="001D3D51">
        <w:rPr>
          <w:rFonts w:ascii="TimesNewRomanPS" w:hAnsi="TimesNewRomanPS"/>
        </w:rPr>
        <w:t xml:space="preserve">si Devlet, </w:t>
      </w:r>
      <w:r w:rsidRPr="00B1570F">
        <w:rPr>
          <w:rFonts w:ascii="TimesNewRomanPS" w:hAnsi="TimesNewRomanPS"/>
          <w:b/>
        </w:rPr>
        <w:t>307’si</w:t>
      </w:r>
      <w:r w:rsidRPr="001D3D51">
        <w:rPr>
          <w:rFonts w:ascii="TimesNewRomanPS" w:hAnsi="TimesNewRomanPS"/>
        </w:rPr>
        <w:t xml:space="preserve"> KKTC üniversitelerindedir. </w:t>
      </w:r>
    </w:p>
    <w:p w14:paraId="5E1EB589" w14:textId="77777777" w:rsidR="00D9330B" w:rsidRDefault="00D9330B" w:rsidP="00D9330B">
      <w:pPr>
        <w:pStyle w:val="NormalWeb"/>
        <w:numPr>
          <w:ilvl w:val="0"/>
          <w:numId w:val="3"/>
        </w:numPr>
        <w:spacing w:line="360" w:lineRule="auto"/>
        <w:jc w:val="both"/>
      </w:pPr>
      <w:r w:rsidRPr="00210CB6">
        <w:rPr>
          <w:b/>
          <w:bCs/>
        </w:rPr>
        <w:t>Öğretmenlik</w:t>
      </w:r>
      <w:r>
        <w:t xml:space="preserve"> programlarında ise 2019 yılında toplam </w:t>
      </w:r>
      <w:r w:rsidRPr="00354482">
        <w:rPr>
          <w:b/>
        </w:rPr>
        <w:t>42.838</w:t>
      </w:r>
      <w:r>
        <w:t xml:space="preserve"> kontenjan bulunmakta idi. Bu kontenjanların </w:t>
      </w:r>
      <w:r w:rsidRPr="00354482">
        <w:rPr>
          <w:b/>
        </w:rPr>
        <w:t>2.177’</w:t>
      </w:r>
      <w:r>
        <w:rPr>
          <w:b/>
        </w:rPr>
        <w:t>si</w:t>
      </w:r>
      <w:r>
        <w:t xml:space="preserve"> boş kalmıştı. 2020 yılında ise </w:t>
      </w:r>
      <w:r w:rsidRPr="00354482">
        <w:rPr>
          <w:b/>
        </w:rPr>
        <w:t>43.501</w:t>
      </w:r>
      <w:r>
        <w:t xml:space="preserve"> kontenjanın </w:t>
      </w:r>
      <w:r w:rsidRPr="00354482">
        <w:rPr>
          <w:b/>
        </w:rPr>
        <w:t>42.592</w:t>
      </w:r>
      <w:r>
        <w:rPr>
          <w:b/>
        </w:rPr>
        <w:t>’si</w:t>
      </w:r>
      <w:r w:rsidRPr="00354482">
        <w:t xml:space="preserve"> </w:t>
      </w:r>
      <w:r>
        <w:t xml:space="preserve">dolmuş ve </w:t>
      </w:r>
      <w:r w:rsidRPr="00354482">
        <w:rPr>
          <w:b/>
        </w:rPr>
        <w:t>909’</w:t>
      </w:r>
      <w:r>
        <w:rPr>
          <w:b/>
        </w:rPr>
        <w:t>ü</w:t>
      </w:r>
      <w:r>
        <w:t xml:space="preserve"> boş kalmıştır. </w:t>
      </w:r>
    </w:p>
    <w:p w14:paraId="5B2737BD" w14:textId="77777777" w:rsidR="00D9330B" w:rsidRDefault="00D9330B" w:rsidP="00D9330B">
      <w:pPr>
        <w:pStyle w:val="NormalWeb"/>
        <w:numPr>
          <w:ilvl w:val="0"/>
          <w:numId w:val="3"/>
        </w:numPr>
        <w:spacing w:line="360" w:lineRule="auto"/>
        <w:jc w:val="both"/>
      </w:pPr>
      <w:r w:rsidRPr="00AE43A3">
        <w:t xml:space="preserve">2019 </w:t>
      </w:r>
      <w:r>
        <w:t>yılında</w:t>
      </w:r>
      <w:r w:rsidRPr="006E3BE7">
        <w:t xml:space="preserve"> başarı sıralaması şartı dolayısı</w:t>
      </w:r>
      <w:r>
        <w:t>yla</w:t>
      </w:r>
      <w:r w:rsidRPr="006E3BE7">
        <w:t xml:space="preserve"> </w:t>
      </w:r>
      <w:r w:rsidRPr="00D66F4A">
        <w:rPr>
          <w:b/>
          <w:bCs/>
        </w:rPr>
        <w:t>mühendislik</w:t>
      </w:r>
      <w:r w:rsidRPr="006E3BE7">
        <w:t xml:space="preserve"> programlarında </w:t>
      </w:r>
      <w:r w:rsidRPr="00354482">
        <w:rPr>
          <w:b/>
        </w:rPr>
        <w:t>16.930</w:t>
      </w:r>
      <w:r w:rsidRPr="006E3BE7">
        <w:t xml:space="preserve"> boş kontenjan kalmış ve </w:t>
      </w:r>
      <w:r>
        <w:t xml:space="preserve">böylece mühendislik eğitimi için </w:t>
      </w:r>
      <w:r w:rsidRPr="006E3BE7">
        <w:t>yeterli temel bilgi</w:t>
      </w:r>
      <w:r>
        <w:t>ye sahip</w:t>
      </w:r>
      <w:r w:rsidRPr="006E3BE7">
        <w:t xml:space="preserve"> olmayan öğrencilerin bu programlara girmesi mümkün olmamıştır. </w:t>
      </w:r>
      <w:r>
        <w:t>B</w:t>
      </w:r>
      <w:r w:rsidRPr="006E3BE7">
        <w:t>u başarı sıralaması şartının kendi başına bir eleme unsuru olarak kalite temelinde</w:t>
      </w:r>
      <w:r>
        <w:t xml:space="preserve"> sonuç ürettiği ortadır</w:t>
      </w:r>
      <w:r w:rsidRPr="006E3BE7">
        <w:t>. 2020 yılında mühendislik programlarında</w:t>
      </w:r>
      <w:r>
        <w:t xml:space="preserve"> belirlenen </w:t>
      </w:r>
      <w:r w:rsidRPr="006E3BE7">
        <w:t xml:space="preserve">kontenjanın </w:t>
      </w:r>
      <w:r w:rsidRPr="00354482">
        <w:rPr>
          <w:b/>
        </w:rPr>
        <w:t>11.904’ü</w:t>
      </w:r>
      <w:r w:rsidRPr="006E3BE7">
        <w:t xml:space="preserve"> boş kalmıştır.</w:t>
      </w:r>
      <w:r>
        <w:t xml:space="preserve"> </w:t>
      </w:r>
      <w:r w:rsidRPr="006E3BE7">
        <w:t>Görüldüğü gibi geçen seneki duru</w:t>
      </w:r>
      <w:r>
        <w:t>m</w:t>
      </w:r>
      <w:r w:rsidRPr="006E3BE7">
        <w:t xml:space="preserve"> üzerine mühendislik programları ile ilgil</w:t>
      </w:r>
      <w:r>
        <w:t>i yapılan analiz ve planlama sonucu bu sene boş kontenjanlarda ciddi oranda düşüş gerçekleşmiştir</w:t>
      </w:r>
      <w:r w:rsidRPr="006E3BE7">
        <w:t xml:space="preserve">. </w:t>
      </w:r>
      <w:r>
        <w:t>Bu iyileşmenin önümüzdeki yıl daha güçlü bir şekilde gerçekleşmesi için çalışma ve düzenlemeler devam edecektir.</w:t>
      </w:r>
      <w:r w:rsidRPr="00AC6338">
        <w:t xml:space="preserve"> </w:t>
      </w:r>
      <w:r>
        <w:t xml:space="preserve">Bu iyileşmenin bir plan çerçevesinde ve tedrici olarak gerçekleşmesinde yarar görülmektedir. </w:t>
      </w:r>
    </w:p>
    <w:p w14:paraId="0A9227E1" w14:textId="77777777" w:rsidR="00D9330B" w:rsidRDefault="00D9330B" w:rsidP="00D9330B">
      <w:pPr>
        <w:pStyle w:val="NormalWeb"/>
        <w:spacing w:line="360" w:lineRule="auto"/>
        <w:ind w:left="284" w:firstLine="426"/>
        <w:jc w:val="both"/>
      </w:pPr>
      <w:proofErr w:type="spellStart"/>
      <w:r>
        <w:t>Mühendislik</w:t>
      </w:r>
      <w:proofErr w:type="spellEnd"/>
      <w:r>
        <w:t xml:space="preserve"> programlarında 40 soru </w:t>
      </w:r>
      <w:proofErr w:type="spellStart"/>
      <w:r>
        <w:t>üzerinden</w:t>
      </w:r>
      <w:proofErr w:type="spellEnd"/>
      <w:r>
        <w:t xml:space="preserve"> bazı testlerde </w:t>
      </w:r>
      <w:r w:rsidRPr="00D66F4A">
        <w:rPr>
          <w:rFonts w:ascii="TimesNewRomanPS" w:hAnsi="TimesNewRomanPS"/>
        </w:rPr>
        <w:t xml:space="preserve">%10 ham </w:t>
      </w:r>
      <w:proofErr w:type="spellStart"/>
      <w:r w:rsidRPr="00D66F4A">
        <w:rPr>
          <w:rFonts w:ascii="TimesNewRomanPS" w:hAnsi="TimesNewRomanPS"/>
        </w:rPr>
        <w:t>başarı</w:t>
      </w:r>
      <w:proofErr w:type="spellEnd"/>
      <w:r w:rsidRPr="00D66F4A">
        <w:rPr>
          <w:rFonts w:ascii="TimesNewRomanPS" w:hAnsi="TimesNewRomanPS"/>
        </w:rPr>
        <w:t xml:space="preserve"> </w:t>
      </w:r>
      <w:proofErr w:type="spellStart"/>
      <w:r w:rsidRPr="00D66F4A">
        <w:rPr>
          <w:rFonts w:ascii="TimesNewRomanPS" w:hAnsi="TimesNewRomanPS"/>
        </w:rPr>
        <w:t>gösteremeyen</w:t>
      </w:r>
      <w:proofErr w:type="spellEnd"/>
      <w:r w:rsidRPr="00D66F4A">
        <w:rPr>
          <w:rFonts w:ascii="TimesNewRomanPS" w:hAnsi="TimesNewRomanPS"/>
        </w:rPr>
        <w:t xml:space="preserve"> </w:t>
      </w:r>
      <w:proofErr w:type="spellStart"/>
      <w:r w:rsidRPr="00D66F4A">
        <w:rPr>
          <w:rFonts w:ascii="TimesNewRomanPS" w:hAnsi="TimesNewRomanPS"/>
        </w:rPr>
        <w:t>öğrencilerin</w:t>
      </w:r>
      <w:proofErr w:type="spellEnd"/>
      <w:r w:rsidRPr="00D66F4A">
        <w:rPr>
          <w:rFonts w:ascii="TimesNewRomanPS" w:hAnsi="TimesNewRomanPS"/>
        </w:rPr>
        <w:t xml:space="preserve"> </w:t>
      </w:r>
      <w:proofErr w:type="spellStart"/>
      <w:r w:rsidRPr="00D66F4A">
        <w:rPr>
          <w:rFonts w:ascii="TimesNewRomanPS" w:hAnsi="TimesNewRomanPS"/>
        </w:rPr>
        <w:t>mühendislik</w:t>
      </w:r>
      <w:proofErr w:type="spellEnd"/>
      <w:r w:rsidRPr="00D66F4A">
        <w:rPr>
          <w:rFonts w:ascii="TimesNewRomanPS" w:hAnsi="TimesNewRomanPS"/>
        </w:rPr>
        <w:t xml:space="preserve"> </w:t>
      </w:r>
      <w:proofErr w:type="spellStart"/>
      <w:r w:rsidRPr="00D66F4A">
        <w:rPr>
          <w:rFonts w:ascii="TimesNewRomanPS" w:hAnsi="TimesNewRomanPS"/>
        </w:rPr>
        <w:t>fakültesine</w:t>
      </w:r>
      <w:proofErr w:type="spellEnd"/>
      <w:r w:rsidRPr="00D66F4A">
        <w:rPr>
          <w:rFonts w:ascii="TimesNewRomanPS" w:hAnsi="TimesNewRomanPS"/>
        </w:rPr>
        <w:t xml:space="preserve"> </w:t>
      </w:r>
      <w:proofErr w:type="spellStart"/>
      <w:r w:rsidRPr="00D66F4A">
        <w:rPr>
          <w:rFonts w:ascii="TimesNewRomanPS" w:hAnsi="TimesNewRomanPS"/>
        </w:rPr>
        <w:t>yerleşmesi</w:t>
      </w:r>
      <w:proofErr w:type="spellEnd"/>
      <w:r w:rsidRPr="00D66F4A">
        <w:rPr>
          <w:rFonts w:ascii="TimesNewRomanPS" w:hAnsi="TimesNewRomanPS"/>
        </w:rPr>
        <w:t xml:space="preserve"> ihtimali </w:t>
      </w:r>
      <w:proofErr w:type="spellStart"/>
      <w:r w:rsidRPr="00D66F4A">
        <w:rPr>
          <w:rFonts w:ascii="TimesNewRomanPS" w:hAnsi="TimesNewRomanPS"/>
        </w:rPr>
        <w:t>düşünüldüğünde</w:t>
      </w:r>
      <w:proofErr w:type="spellEnd"/>
      <w:r w:rsidRPr="00D66F4A">
        <w:rPr>
          <w:rFonts w:ascii="TimesNewRomanPS" w:hAnsi="TimesNewRomanPS"/>
          <w:b/>
          <w:bCs/>
        </w:rPr>
        <w:t xml:space="preserve"> </w:t>
      </w:r>
      <w:proofErr w:type="spellStart"/>
      <w:r>
        <w:t>başarı</w:t>
      </w:r>
      <w:proofErr w:type="spellEnd"/>
      <w:r>
        <w:t xml:space="preserve"> sıralama </w:t>
      </w:r>
      <w:proofErr w:type="spellStart"/>
      <w:r>
        <w:lastRenderedPageBreak/>
        <w:t>şartı</w:t>
      </w:r>
      <w:proofErr w:type="spellEnd"/>
      <w:r>
        <w:t xml:space="preserve">/barajının ne denli </w:t>
      </w:r>
      <w:proofErr w:type="spellStart"/>
      <w:r>
        <w:t>önemli</w:t>
      </w:r>
      <w:proofErr w:type="spellEnd"/>
      <w:r>
        <w:t xml:space="preserve"> ve anlamlı bir </w:t>
      </w:r>
      <w:proofErr w:type="spellStart"/>
      <w:r>
        <w:t>işlevi</w:t>
      </w:r>
      <w:proofErr w:type="spellEnd"/>
      <w:r>
        <w:t xml:space="preserve"> </w:t>
      </w:r>
      <w:proofErr w:type="spellStart"/>
      <w:r>
        <w:t>olduğu</w:t>
      </w:r>
      <w:proofErr w:type="spellEnd"/>
      <w:r>
        <w:t xml:space="preserve"> da ortaya </w:t>
      </w:r>
      <w:proofErr w:type="spellStart"/>
      <w:r>
        <w:t>çıkmaktadır</w:t>
      </w:r>
      <w:proofErr w:type="spellEnd"/>
      <w:r>
        <w:t xml:space="preserve">. </w:t>
      </w:r>
      <w:proofErr w:type="spellStart"/>
      <w:r>
        <w:t>Başarı</w:t>
      </w:r>
      <w:proofErr w:type="spellEnd"/>
      <w:r>
        <w:t xml:space="preserve"> sıralaması </w:t>
      </w:r>
      <w:proofErr w:type="spellStart"/>
      <w:r>
        <w:t>şartı</w:t>
      </w:r>
      <w:proofErr w:type="spellEnd"/>
      <w:r>
        <w:t xml:space="preserve"> </w:t>
      </w:r>
      <w:proofErr w:type="spellStart"/>
      <w:r>
        <w:t>önemlidir</w:t>
      </w:r>
      <w:proofErr w:type="spellEnd"/>
      <w:r>
        <w:t xml:space="preserve">. Fakat bu sadece bir girdi </w:t>
      </w:r>
      <w:proofErr w:type="spellStart"/>
      <w:r>
        <w:t>düzenlemesi</w:t>
      </w:r>
      <w:proofErr w:type="spellEnd"/>
      <w:r>
        <w:t xml:space="preserve"> olup bunun </w:t>
      </w:r>
      <w:proofErr w:type="spellStart"/>
      <w:r>
        <w:t>başkaca</w:t>
      </w:r>
      <w:proofErr w:type="spellEnd"/>
      <w:r>
        <w:t xml:space="preserve"> </w:t>
      </w:r>
      <w:proofErr w:type="spellStart"/>
      <w:r>
        <w:t>düzenlemeler</w:t>
      </w:r>
      <w:proofErr w:type="spellEnd"/>
      <w:r>
        <w:t xml:space="preserve"> ile de desteklenmesi icap etmektedir. Bu </w:t>
      </w:r>
      <w:proofErr w:type="gramStart"/>
      <w:r>
        <w:t>sene  yeni</w:t>
      </w:r>
      <w:proofErr w:type="gramEnd"/>
      <w:r>
        <w:t xml:space="preserve"> nesil </w:t>
      </w:r>
      <w:proofErr w:type="spellStart"/>
      <w:r>
        <w:t>mühendislik</w:t>
      </w:r>
      <w:proofErr w:type="spellEnd"/>
      <w:r>
        <w:t xml:space="preserve"> programlarına da sistemde yer verilmeye </w:t>
      </w:r>
      <w:proofErr w:type="spellStart"/>
      <w:r>
        <w:t>başlanması</w:t>
      </w:r>
      <w:proofErr w:type="spellEnd"/>
      <w:r>
        <w:t xml:space="preserve">, laboratuvarların </w:t>
      </w:r>
      <w:proofErr w:type="spellStart"/>
      <w:r>
        <w:t>değerlendirilmesi</w:t>
      </w:r>
      <w:proofErr w:type="spellEnd"/>
      <w:r>
        <w:t xml:space="preserve">, </w:t>
      </w:r>
      <w:proofErr w:type="spellStart"/>
      <w:r>
        <w:t>mühendislik</w:t>
      </w:r>
      <w:proofErr w:type="spellEnd"/>
      <w:r>
        <w:t xml:space="preserve"> </w:t>
      </w:r>
      <w:proofErr w:type="spellStart"/>
      <w:r>
        <w:t>eğitimi</w:t>
      </w:r>
      <w:proofErr w:type="spellEnd"/>
      <w:r>
        <w:t xml:space="preserve"> </w:t>
      </w:r>
      <w:proofErr w:type="spellStart"/>
      <w:r>
        <w:t>için</w:t>
      </w:r>
      <w:proofErr w:type="spellEnd"/>
      <w:r>
        <w:t xml:space="preserve"> asgari </w:t>
      </w:r>
      <w:proofErr w:type="spellStart"/>
      <w:r>
        <w:t>şartların</w:t>
      </w:r>
      <w:proofErr w:type="spellEnd"/>
      <w:r>
        <w:t xml:space="preserve"> </w:t>
      </w:r>
      <w:proofErr w:type="spellStart"/>
      <w:r>
        <w:t>güncellenmesi</w:t>
      </w:r>
      <w:proofErr w:type="spellEnd"/>
      <w:r>
        <w:t xml:space="preserve"> gibi bir dizi düzenlemenin devamının gelmesi, ayrıca bu programlara </w:t>
      </w:r>
      <w:proofErr w:type="spellStart"/>
      <w:r>
        <w:t>ilişkin</w:t>
      </w:r>
      <w:proofErr w:type="spellEnd"/>
      <w:r>
        <w:t xml:space="preserve"> </w:t>
      </w:r>
      <w:proofErr w:type="spellStart"/>
      <w:r>
        <w:t>öğrenci</w:t>
      </w:r>
      <w:proofErr w:type="spellEnd"/>
      <w:r>
        <w:t xml:space="preserve"> </w:t>
      </w:r>
      <w:proofErr w:type="spellStart"/>
      <w:r>
        <w:t>görüşleri</w:t>
      </w:r>
      <w:proofErr w:type="spellEnd"/>
      <w:r>
        <w:t xml:space="preserve"> ve memnuniyet </w:t>
      </w:r>
      <w:proofErr w:type="spellStart"/>
      <w:r>
        <w:t>düzeyi</w:t>
      </w:r>
      <w:proofErr w:type="spellEnd"/>
      <w:r>
        <w:t xml:space="preserve"> de </w:t>
      </w:r>
      <w:proofErr w:type="spellStart"/>
      <w:r>
        <w:t>YÖK’ün</w:t>
      </w:r>
      <w:proofErr w:type="spellEnd"/>
      <w:r>
        <w:t xml:space="preserve"> </w:t>
      </w:r>
      <w:proofErr w:type="spellStart"/>
      <w:r>
        <w:t>öncelikli</w:t>
      </w:r>
      <w:proofErr w:type="spellEnd"/>
      <w:r>
        <w:t xml:space="preserve"> konuları arasındadır. </w:t>
      </w:r>
      <w:proofErr w:type="spellStart"/>
      <w:r>
        <w:t>Mühendislik</w:t>
      </w:r>
      <w:proofErr w:type="spellEnd"/>
      <w:r>
        <w:t xml:space="preserve"> programlarındaki bu durumu, yapılacak </w:t>
      </w:r>
      <w:proofErr w:type="spellStart"/>
      <w:r>
        <w:t>girişim</w:t>
      </w:r>
      <w:proofErr w:type="spellEnd"/>
      <w:r>
        <w:t xml:space="preserve"> ve </w:t>
      </w:r>
      <w:proofErr w:type="spellStart"/>
      <w:r>
        <w:t>düzenlemeler</w:t>
      </w:r>
      <w:proofErr w:type="spellEnd"/>
      <w:r>
        <w:t xml:space="preserve"> ile klasik </w:t>
      </w:r>
      <w:proofErr w:type="spellStart"/>
      <w:r>
        <w:t>mühendisliklerin</w:t>
      </w:r>
      <w:proofErr w:type="spellEnd"/>
      <w:r>
        <w:t xml:space="preserve"> </w:t>
      </w:r>
      <w:proofErr w:type="spellStart"/>
      <w:r>
        <w:t>dönüşümu</w:t>
      </w:r>
      <w:proofErr w:type="spellEnd"/>
      <w:r>
        <w:t xml:space="preserve">̈/evrimi ve yeni nesil </w:t>
      </w:r>
      <w:proofErr w:type="spellStart"/>
      <w:r>
        <w:t>mühendislikler</w:t>
      </w:r>
      <w:proofErr w:type="spellEnd"/>
      <w:r>
        <w:t xml:space="preserve"> </w:t>
      </w:r>
      <w:proofErr w:type="spellStart"/>
      <w:r>
        <w:t>için</w:t>
      </w:r>
      <w:proofErr w:type="spellEnd"/>
      <w:r>
        <w:t xml:space="preserve"> bir fırsat olarak </w:t>
      </w:r>
      <w:proofErr w:type="spellStart"/>
      <w:r>
        <w:t>değerlendirmek</w:t>
      </w:r>
      <w:proofErr w:type="spellEnd"/>
      <w:r>
        <w:t xml:space="preserve"> de </w:t>
      </w:r>
      <w:proofErr w:type="spellStart"/>
      <w:r>
        <w:t>mümkündür</w:t>
      </w:r>
      <w:proofErr w:type="spellEnd"/>
      <w:r>
        <w:t xml:space="preserve">. Bununla birlikte yetkin/yüksek mühendislik için meslek icra sınavının yapılmasının bu programların eğitim ve öğretim düzeyine ve kalitesine büyük katkı sağlayacağı düşünülmektedir. </w:t>
      </w:r>
    </w:p>
    <w:p w14:paraId="24108A87" w14:textId="77777777" w:rsidR="00D9330B" w:rsidRPr="003A43EA" w:rsidRDefault="00D9330B" w:rsidP="00D9330B">
      <w:pPr>
        <w:pStyle w:val="NormalWeb"/>
        <w:numPr>
          <w:ilvl w:val="0"/>
          <w:numId w:val="3"/>
        </w:numPr>
        <w:spacing w:line="360" w:lineRule="auto"/>
        <w:ind w:left="0" w:firstLine="426"/>
        <w:rPr>
          <w:b/>
        </w:rPr>
      </w:pPr>
      <w:r w:rsidRPr="003A43EA">
        <w:rPr>
          <w:b/>
        </w:rPr>
        <w:t>Bu sene ilk defa uygulamaya konulan Diş Hekimliği ile Eczacılık program</w:t>
      </w:r>
      <w:r>
        <w:rPr>
          <w:b/>
        </w:rPr>
        <w:t xml:space="preserve">larında ise durum şu şekildedir: </w:t>
      </w:r>
    </w:p>
    <w:p w14:paraId="299F21D4" w14:textId="77777777" w:rsidR="00D9330B" w:rsidRPr="00182A68" w:rsidRDefault="00D9330B" w:rsidP="00D9330B">
      <w:pPr>
        <w:pStyle w:val="NormalWeb"/>
        <w:numPr>
          <w:ilvl w:val="0"/>
          <w:numId w:val="3"/>
        </w:numPr>
        <w:spacing w:line="360" w:lineRule="auto"/>
        <w:ind w:left="0" w:firstLine="426"/>
        <w:jc w:val="both"/>
      </w:pPr>
      <w:r>
        <w:t xml:space="preserve">Bu sene başarı sıralaması şartı uygulanmaya başlayan Diş Hekimliği programında </w:t>
      </w:r>
      <w:r w:rsidRPr="00354482">
        <w:rPr>
          <w:b/>
        </w:rPr>
        <w:t>7.913</w:t>
      </w:r>
      <w:r w:rsidRPr="00182A68">
        <w:t xml:space="preserve"> toplam kontenjanın </w:t>
      </w:r>
      <w:r w:rsidRPr="00354482">
        <w:rPr>
          <w:b/>
        </w:rPr>
        <w:t>267’si</w:t>
      </w:r>
      <w:r w:rsidRPr="00182A68">
        <w:t xml:space="preserve"> boş kalmıştır. Dolmayan </w:t>
      </w:r>
      <w:r w:rsidRPr="00354482">
        <w:rPr>
          <w:b/>
        </w:rPr>
        <w:t>267</w:t>
      </w:r>
      <w:r w:rsidRPr="00182A68">
        <w:t xml:space="preserve"> kontenjanın </w:t>
      </w:r>
      <w:r>
        <w:rPr>
          <w:b/>
        </w:rPr>
        <w:t>171’</w:t>
      </w:r>
      <w:r w:rsidRPr="00354482">
        <w:rPr>
          <w:b/>
        </w:rPr>
        <w:t>i</w:t>
      </w:r>
      <w:r w:rsidRPr="00182A68">
        <w:t xml:space="preserve"> Vakıf, </w:t>
      </w:r>
      <w:r w:rsidRPr="00354482">
        <w:rPr>
          <w:b/>
        </w:rPr>
        <w:t>95’i</w:t>
      </w:r>
      <w:r w:rsidRPr="00182A68">
        <w:t xml:space="preserve"> KKTC üniversitelerindedir</w:t>
      </w:r>
      <w:r>
        <w:t>.</w:t>
      </w:r>
    </w:p>
    <w:p w14:paraId="58E1921D" w14:textId="77777777" w:rsidR="00D9330B" w:rsidRPr="00182A68" w:rsidRDefault="00D9330B" w:rsidP="00D9330B">
      <w:pPr>
        <w:pStyle w:val="NormalWeb"/>
        <w:spacing w:line="360" w:lineRule="auto"/>
        <w:ind w:firstLine="426"/>
        <w:jc w:val="both"/>
        <w:rPr>
          <w:highlight w:val="cyan"/>
        </w:rPr>
      </w:pPr>
      <w:r>
        <w:t xml:space="preserve">-Yine bu sene ilk kez başarı sıralaması şartı uygulanmaya başlayan Eczacılıkta </w:t>
      </w:r>
      <w:r w:rsidRPr="00182A68">
        <w:t xml:space="preserve">ise </w:t>
      </w:r>
      <w:r w:rsidRPr="00354482">
        <w:rPr>
          <w:b/>
        </w:rPr>
        <w:t>3.972</w:t>
      </w:r>
      <w:r w:rsidRPr="00182A68">
        <w:t xml:space="preserve"> toplam kontenjanın </w:t>
      </w:r>
      <w:r w:rsidRPr="00354482">
        <w:rPr>
          <w:b/>
        </w:rPr>
        <w:t>3.925’i</w:t>
      </w:r>
      <w:r w:rsidRPr="00182A68">
        <w:t xml:space="preserve"> dolmuştur. Boş kalan kontenjan say</w:t>
      </w:r>
      <w:r>
        <w:t xml:space="preserve">ısı </w:t>
      </w:r>
      <w:r w:rsidRPr="00354482">
        <w:rPr>
          <w:b/>
        </w:rPr>
        <w:t>47’dir</w:t>
      </w:r>
      <w:r>
        <w:t xml:space="preserve"> ve KKTC ün</w:t>
      </w:r>
      <w:r w:rsidRPr="00182A68">
        <w:t>iversitelerindedir</w:t>
      </w:r>
      <w:r>
        <w:t>.</w:t>
      </w:r>
    </w:p>
    <w:p w14:paraId="60AF430B" w14:textId="77777777" w:rsidR="00D9330B" w:rsidRPr="00AC6338" w:rsidRDefault="00D9330B" w:rsidP="00D9330B">
      <w:pPr>
        <w:pStyle w:val="NormalWeb"/>
        <w:spacing w:line="360" w:lineRule="auto"/>
        <w:ind w:firstLine="318"/>
        <w:jc w:val="both"/>
        <w:rPr>
          <w:color w:val="C00000"/>
        </w:rPr>
      </w:pPr>
      <w:proofErr w:type="spellStart"/>
      <w:r>
        <w:t>Yükseköğretimde</w:t>
      </w:r>
      <w:proofErr w:type="spellEnd"/>
      <w:r>
        <w:t xml:space="preserve"> kaliteyi </w:t>
      </w:r>
      <w:proofErr w:type="spellStart"/>
      <w:r>
        <w:t>önceleyen</w:t>
      </w:r>
      <w:proofErr w:type="spellEnd"/>
      <w:r>
        <w:t xml:space="preserve"> Yeni </w:t>
      </w:r>
      <w:proofErr w:type="spellStart"/>
      <w:r>
        <w:t>YÖK’ün</w:t>
      </w:r>
      <w:proofErr w:type="spellEnd"/>
      <w:r>
        <w:t xml:space="preserve"> katılımcı bir </w:t>
      </w:r>
      <w:proofErr w:type="spellStart"/>
      <w:r>
        <w:t>sürec</w:t>
      </w:r>
      <w:proofErr w:type="spellEnd"/>
      <w:r>
        <w:t xml:space="preserve">̧ sonucunda sisteme kazandırdığı değerlerden birisi olan </w:t>
      </w:r>
      <w:proofErr w:type="spellStart"/>
      <w:r>
        <w:t>başarı</w:t>
      </w:r>
      <w:proofErr w:type="spellEnd"/>
      <w:r>
        <w:t xml:space="preserve"> sıralaması </w:t>
      </w:r>
      <w:proofErr w:type="spellStart"/>
      <w:r>
        <w:t>şartı</w:t>
      </w:r>
      <w:proofErr w:type="spellEnd"/>
      <w:r>
        <w:t xml:space="preserve">, amacına uygun </w:t>
      </w:r>
      <w:proofErr w:type="spellStart"/>
      <w:r>
        <w:t>işlemektedir</w:t>
      </w:r>
      <w:proofErr w:type="spellEnd"/>
      <w:r>
        <w:t xml:space="preserve">. Toplumun </w:t>
      </w:r>
      <w:proofErr w:type="spellStart"/>
      <w:r>
        <w:t>bütün</w:t>
      </w:r>
      <w:proofErr w:type="spellEnd"/>
      <w:r>
        <w:t xml:space="preserve"> kesimlerince kabul </w:t>
      </w:r>
      <w:proofErr w:type="spellStart"/>
      <w:r>
        <w:t>gören</w:t>
      </w:r>
      <w:proofErr w:type="spellEnd"/>
      <w:r>
        <w:t xml:space="preserve"> YÖK’ün bu uygulamasının </w:t>
      </w:r>
      <w:proofErr w:type="spellStart"/>
      <w:r>
        <w:t>başarılı</w:t>
      </w:r>
      <w:proofErr w:type="spellEnd"/>
      <w:r>
        <w:t xml:space="preserve"> bir </w:t>
      </w:r>
      <w:proofErr w:type="spellStart"/>
      <w:r>
        <w:t>şekilde</w:t>
      </w:r>
      <w:proofErr w:type="spellEnd"/>
      <w:r>
        <w:t xml:space="preserve"> </w:t>
      </w:r>
      <w:proofErr w:type="spellStart"/>
      <w:r>
        <w:t>işlediğinin</w:t>
      </w:r>
      <w:proofErr w:type="spellEnd"/>
      <w:r>
        <w:t xml:space="preserve"> göstergesi; bu uygulamanın daha da </w:t>
      </w:r>
      <w:proofErr w:type="spellStart"/>
      <w:r>
        <w:t>genişletilmesinin</w:t>
      </w:r>
      <w:proofErr w:type="spellEnd"/>
      <w:r>
        <w:t xml:space="preserve"> Bakanlıklar, </w:t>
      </w:r>
      <w:proofErr w:type="spellStart"/>
      <w:r>
        <w:t>üniversiteler</w:t>
      </w:r>
      <w:proofErr w:type="spellEnd"/>
      <w:r>
        <w:t xml:space="preserve">, meslek </w:t>
      </w:r>
      <w:proofErr w:type="spellStart"/>
      <w:r>
        <w:t>örgütleri</w:t>
      </w:r>
      <w:proofErr w:type="spellEnd"/>
      <w:r>
        <w:t xml:space="preserve"> ve diğer paydaşlar tarafından istenmesinden ve bu hususun Kalkınma Planına girmiş olmasından da anlaşılmaktadır. </w:t>
      </w:r>
    </w:p>
    <w:p w14:paraId="3EABD50A" w14:textId="77777777" w:rsidR="00D9330B" w:rsidRPr="00327ABE" w:rsidRDefault="00D9330B" w:rsidP="00D9330B">
      <w:pPr>
        <w:pStyle w:val="NormalWeb"/>
        <w:numPr>
          <w:ilvl w:val="0"/>
          <w:numId w:val="2"/>
        </w:numPr>
        <w:spacing w:line="360" w:lineRule="auto"/>
        <w:jc w:val="both"/>
        <w:rPr>
          <w:b/>
        </w:rPr>
      </w:pPr>
      <w:proofErr w:type="spellStart"/>
      <w:r>
        <w:rPr>
          <w:b/>
        </w:rPr>
        <w:t>Açıköğretim</w:t>
      </w:r>
      <w:proofErr w:type="spellEnd"/>
      <w:r>
        <w:rPr>
          <w:b/>
        </w:rPr>
        <w:t xml:space="preserve"> Programları </w:t>
      </w:r>
    </w:p>
    <w:tbl>
      <w:tblPr>
        <w:tblStyle w:val="TabloKlavuzu"/>
        <w:tblW w:w="6722" w:type="dxa"/>
        <w:tblInd w:w="-5" w:type="dxa"/>
        <w:tblLayout w:type="fixed"/>
        <w:tblLook w:val="04A0" w:firstRow="1" w:lastRow="0" w:firstColumn="1" w:lastColumn="0" w:noHBand="0" w:noVBand="1"/>
      </w:tblPr>
      <w:tblGrid>
        <w:gridCol w:w="1590"/>
        <w:gridCol w:w="1749"/>
        <w:gridCol w:w="1399"/>
        <w:gridCol w:w="1984"/>
      </w:tblGrid>
      <w:tr w:rsidR="00D9330B" w:rsidRPr="00D66F53" w14:paraId="2614BB5F" w14:textId="77777777" w:rsidTr="00286018">
        <w:trPr>
          <w:trHeight w:val="148"/>
        </w:trPr>
        <w:tc>
          <w:tcPr>
            <w:tcW w:w="1590" w:type="dxa"/>
            <w:shd w:val="clear" w:color="auto" w:fill="DBE5F1" w:themeFill="accent1" w:themeFillTint="33"/>
            <w:vAlign w:val="center"/>
          </w:tcPr>
          <w:p w14:paraId="6118A484" w14:textId="77777777" w:rsidR="00D9330B" w:rsidRPr="00D66F53" w:rsidRDefault="00D9330B" w:rsidP="00286018">
            <w:pPr>
              <w:jc w:val="center"/>
              <w:rPr>
                <w:rFonts w:cstheme="minorHAnsi"/>
                <w:b/>
                <w:sz w:val="24"/>
                <w:szCs w:val="24"/>
              </w:rPr>
            </w:pPr>
            <w:bookmarkStart w:id="1" w:name="OLE_LINK2"/>
          </w:p>
        </w:tc>
        <w:tc>
          <w:tcPr>
            <w:tcW w:w="1749" w:type="dxa"/>
            <w:shd w:val="clear" w:color="auto" w:fill="DBE5F1" w:themeFill="accent1" w:themeFillTint="33"/>
            <w:vAlign w:val="center"/>
          </w:tcPr>
          <w:p w14:paraId="096C4B86" w14:textId="77777777" w:rsidR="00D9330B" w:rsidRPr="009F3D8F" w:rsidRDefault="00D9330B" w:rsidP="00286018">
            <w:pPr>
              <w:jc w:val="center"/>
              <w:rPr>
                <w:rFonts w:cstheme="minorHAnsi"/>
                <w:sz w:val="24"/>
                <w:szCs w:val="24"/>
              </w:rPr>
            </w:pPr>
            <w:r w:rsidRPr="009F3D8F">
              <w:rPr>
                <w:rFonts w:cstheme="minorHAnsi"/>
                <w:sz w:val="24"/>
                <w:szCs w:val="24"/>
              </w:rPr>
              <w:t>Toplam Kontenjan</w:t>
            </w:r>
          </w:p>
        </w:tc>
        <w:tc>
          <w:tcPr>
            <w:tcW w:w="1399" w:type="dxa"/>
            <w:shd w:val="clear" w:color="auto" w:fill="DBE5F1" w:themeFill="accent1" w:themeFillTint="33"/>
            <w:vAlign w:val="center"/>
          </w:tcPr>
          <w:p w14:paraId="1A9A18EB" w14:textId="77777777" w:rsidR="00D9330B" w:rsidRPr="009F3D8F" w:rsidRDefault="00D9330B" w:rsidP="00286018">
            <w:pPr>
              <w:jc w:val="center"/>
              <w:rPr>
                <w:rFonts w:cstheme="minorHAnsi"/>
                <w:sz w:val="24"/>
                <w:szCs w:val="24"/>
              </w:rPr>
            </w:pPr>
            <w:r w:rsidRPr="009F3D8F">
              <w:rPr>
                <w:rFonts w:cstheme="minorHAnsi"/>
                <w:sz w:val="24"/>
                <w:szCs w:val="24"/>
              </w:rPr>
              <w:t>Boş Kalan Kontenjan</w:t>
            </w:r>
          </w:p>
        </w:tc>
        <w:tc>
          <w:tcPr>
            <w:tcW w:w="1984" w:type="dxa"/>
            <w:shd w:val="clear" w:color="auto" w:fill="DBE5F1" w:themeFill="accent1" w:themeFillTint="33"/>
            <w:vAlign w:val="center"/>
          </w:tcPr>
          <w:p w14:paraId="24BA9C8E" w14:textId="77777777" w:rsidR="00D9330B" w:rsidRPr="00327ABE" w:rsidRDefault="00D9330B" w:rsidP="00286018">
            <w:pPr>
              <w:jc w:val="center"/>
              <w:rPr>
                <w:rFonts w:cstheme="minorHAnsi"/>
                <w:b/>
                <w:sz w:val="24"/>
                <w:szCs w:val="24"/>
              </w:rPr>
            </w:pPr>
            <w:r w:rsidRPr="00327ABE">
              <w:rPr>
                <w:rFonts w:cstheme="minorHAnsi"/>
                <w:b/>
                <w:sz w:val="24"/>
                <w:szCs w:val="24"/>
              </w:rPr>
              <w:t>Doluluk Oranı</w:t>
            </w:r>
          </w:p>
        </w:tc>
      </w:tr>
      <w:tr w:rsidR="00D9330B" w:rsidRPr="00D66F53" w14:paraId="0A4B3277" w14:textId="77777777" w:rsidTr="00286018">
        <w:trPr>
          <w:trHeight w:val="332"/>
        </w:trPr>
        <w:tc>
          <w:tcPr>
            <w:tcW w:w="1590" w:type="dxa"/>
            <w:vAlign w:val="bottom"/>
          </w:tcPr>
          <w:p w14:paraId="0464DF71" w14:textId="77777777" w:rsidR="00D9330B" w:rsidRPr="00D66F53" w:rsidRDefault="00D9330B" w:rsidP="00286018">
            <w:pPr>
              <w:jc w:val="center"/>
              <w:rPr>
                <w:rFonts w:cstheme="minorHAnsi"/>
                <w:b/>
                <w:sz w:val="24"/>
                <w:szCs w:val="24"/>
              </w:rPr>
            </w:pPr>
            <w:r w:rsidRPr="00D66F53">
              <w:rPr>
                <w:rFonts w:cstheme="minorHAnsi"/>
                <w:b/>
                <w:sz w:val="24"/>
                <w:szCs w:val="24"/>
              </w:rPr>
              <w:t>2018</w:t>
            </w:r>
          </w:p>
        </w:tc>
        <w:tc>
          <w:tcPr>
            <w:tcW w:w="1749" w:type="dxa"/>
            <w:vAlign w:val="center"/>
          </w:tcPr>
          <w:p w14:paraId="2CDCA0CF" w14:textId="77777777" w:rsidR="00D9330B" w:rsidRPr="008B2C0D" w:rsidRDefault="00D9330B" w:rsidP="00286018">
            <w:pPr>
              <w:jc w:val="center"/>
              <w:rPr>
                <w:color w:val="000000" w:themeColor="text1"/>
                <w:sz w:val="24"/>
                <w:szCs w:val="24"/>
              </w:rPr>
            </w:pPr>
            <w:r w:rsidRPr="008B2C0D">
              <w:rPr>
                <w:color w:val="000000" w:themeColor="text1"/>
                <w:sz w:val="24"/>
                <w:szCs w:val="24"/>
              </w:rPr>
              <w:t>198</w:t>
            </w:r>
            <w:r>
              <w:rPr>
                <w:color w:val="000000" w:themeColor="text1"/>
                <w:sz w:val="24"/>
                <w:szCs w:val="24"/>
              </w:rPr>
              <w:t>.</w:t>
            </w:r>
            <w:r w:rsidRPr="008B2C0D">
              <w:rPr>
                <w:color w:val="000000" w:themeColor="text1"/>
                <w:sz w:val="24"/>
                <w:szCs w:val="24"/>
              </w:rPr>
              <w:t>102</w:t>
            </w:r>
          </w:p>
        </w:tc>
        <w:tc>
          <w:tcPr>
            <w:tcW w:w="1399" w:type="dxa"/>
            <w:vAlign w:val="center"/>
          </w:tcPr>
          <w:p w14:paraId="2711E5DD" w14:textId="77777777" w:rsidR="00D9330B" w:rsidRPr="008B2C0D" w:rsidRDefault="00D9330B" w:rsidP="00286018">
            <w:pPr>
              <w:jc w:val="center"/>
              <w:rPr>
                <w:color w:val="000000" w:themeColor="text1"/>
                <w:sz w:val="24"/>
                <w:szCs w:val="24"/>
              </w:rPr>
            </w:pPr>
            <w:r w:rsidRPr="008B2C0D">
              <w:rPr>
                <w:color w:val="000000" w:themeColor="text1"/>
                <w:sz w:val="24"/>
                <w:szCs w:val="24"/>
              </w:rPr>
              <w:t>51</w:t>
            </w:r>
            <w:r>
              <w:rPr>
                <w:color w:val="000000" w:themeColor="text1"/>
                <w:sz w:val="24"/>
                <w:szCs w:val="24"/>
              </w:rPr>
              <w:t>.</w:t>
            </w:r>
            <w:r w:rsidRPr="008B2C0D">
              <w:rPr>
                <w:color w:val="000000" w:themeColor="text1"/>
                <w:sz w:val="24"/>
                <w:szCs w:val="24"/>
              </w:rPr>
              <w:t>844</w:t>
            </w:r>
          </w:p>
        </w:tc>
        <w:tc>
          <w:tcPr>
            <w:tcW w:w="1984" w:type="dxa"/>
            <w:vAlign w:val="center"/>
          </w:tcPr>
          <w:p w14:paraId="74AC1FC1" w14:textId="77777777" w:rsidR="00D9330B" w:rsidRPr="00327ABE" w:rsidRDefault="00D9330B" w:rsidP="00286018">
            <w:pPr>
              <w:jc w:val="center"/>
              <w:rPr>
                <w:b/>
                <w:color w:val="000000" w:themeColor="text1"/>
                <w:sz w:val="24"/>
                <w:szCs w:val="24"/>
              </w:rPr>
            </w:pPr>
            <w:r>
              <w:rPr>
                <w:b/>
                <w:color w:val="000000" w:themeColor="text1"/>
                <w:sz w:val="24"/>
                <w:szCs w:val="24"/>
              </w:rPr>
              <w:t>%</w:t>
            </w:r>
            <w:r w:rsidRPr="00327ABE">
              <w:rPr>
                <w:b/>
                <w:color w:val="000000" w:themeColor="text1"/>
                <w:sz w:val="24"/>
                <w:szCs w:val="24"/>
              </w:rPr>
              <w:t>73,83</w:t>
            </w:r>
          </w:p>
        </w:tc>
      </w:tr>
      <w:tr w:rsidR="00D9330B" w:rsidRPr="00D66F53" w14:paraId="409E88BB" w14:textId="77777777" w:rsidTr="00286018">
        <w:trPr>
          <w:trHeight w:val="332"/>
        </w:trPr>
        <w:tc>
          <w:tcPr>
            <w:tcW w:w="1590" w:type="dxa"/>
            <w:vAlign w:val="bottom"/>
          </w:tcPr>
          <w:p w14:paraId="01DBC2BF" w14:textId="77777777" w:rsidR="00D9330B" w:rsidRPr="00D66F53" w:rsidRDefault="00D9330B" w:rsidP="00286018">
            <w:pPr>
              <w:jc w:val="center"/>
              <w:rPr>
                <w:rFonts w:cstheme="minorHAnsi"/>
                <w:b/>
                <w:sz w:val="24"/>
                <w:szCs w:val="24"/>
              </w:rPr>
            </w:pPr>
            <w:r w:rsidRPr="00D66F53">
              <w:rPr>
                <w:rFonts w:cstheme="minorHAnsi"/>
                <w:b/>
                <w:sz w:val="24"/>
                <w:szCs w:val="24"/>
              </w:rPr>
              <w:t>2019</w:t>
            </w:r>
          </w:p>
        </w:tc>
        <w:tc>
          <w:tcPr>
            <w:tcW w:w="1749" w:type="dxa"/>
            <w:vAlign w:val="center"/>
          </w:tcPr>
          <w:p w14:paraId="66CABFBF" w14:textId="77777777" w:rsidR="00D9330B" w:rsidRPr="008B2C0D" w:rsidRDefault="00D9330B" w:rsidP="00286018">
            <w:pPr>
              <w:jc w:val="center"/>
              <w:rPr>
                <w:color w:val="000000" w:themeColor="text1"/>
                <w:sz w:val="24"/>
                <w:szCs w:val="24"/>
              </w:rPr>
            </w:pPr>
            <w:r w:rsidRPr="008B2C0D">
              <w:rPr>
                <w:color w:val="000000" w:themeColor="text1"/>
                <w:sz w:val="24"/>
                <w:szCs w:val="24"/>
              </w:rPr>
              <w:t>176</w:t>
            </w:r>
            <w:r>
              <w:rPr>
                <w:color w:val="000000" w:themeColor="text1"/>
                <w:sz w:val="24"/>
                <w:szCs w:val="24"/>
              </w:rPr>
              <w:t>.</w:t>
            </w:r>
            <w:r w:rsidRPr="008B2C0D">
              <w:rPr>
                <w:color w:val="000000" w:themeColor="text1"/>
                <w:sz w:val="24"/>
                <w:szCs w:val="24"/>
              </w:rPr>
              <w:t>464</w:t>
            </w:r>
          </w:p>
        </w:tc>
        <w:tc>
          <w:tcPr>
            <w:tcW w:w="1399" w:type="dxa"/>
            <w:vAlign w:val="center"/>
          </w:tcPr>
          <w:p w14:paraId="0B2B0298" w14:textId="77777777" w:rsidR="00D9330B" w:rsidRPr="008B2C0D" w:rsidRDefault="00D9330B" w:rsidP="00286018">
            <w:pPr>
              <w:jc w:val="center"/>
              <w:rPr>
                <w:color w:val="000000" w:themeColor="text1"/>
                <w:sz w:val="24"/>
                <w:szCs w:val="24"/>
              </w:rPr>
            </w:pPr>
            <w:r w:rsidRPr="008B2C0D">
              <w:rPr>
                <w:color w:val="000000" w:themeColor="text1"/>
                <w:sz w:val="24"/>
                <w:szCs w:val="24"/>
              </w:rPr>
              <w:t>25</w:t>
            </w:r>
            <w:r>
              <w:rPr>
                <w:color w:val="000000" w:themeColor="text1"/>
                <w:sz w:val="24"/>
                <w:szCs w:val="24"/>
              </w:rPr>
              <w:t>.</w:t>
            </w:r>
            <w:r w:rsidRPr="008B2C0D">
              <w:rPr>
                <w:color w:val="000000" w:themeColor="text1"/>
                <w:sz w:val="24"/>
                <w:szCs w:val="24"/>
              </w:rPr>
              <w:t>749</w:t>
            </w:r>
          </w:p>
        </w:tc>
        <w:tc>
          <w:tcPr>
            <w:tcW w:w="1984" w:type="dxa"/>
            <w:vAlign w:val="center"/>
          </w:tcPr>
          <w:p w14:paraId="0C0F4389" w14:textId="77777777" w:rsidR="00D9330B" w:rsidRPr="00327ABE" w:rsidRDefault="00D9330B" w:rsidP="00286018">
            <w:pPr>
              <w:jc w:val="center"/>
              <w:rPr>
                <w:b/>
                <w:color w:val="000000" w:themeColor="text1"/>
                <w:sz w:val="24"/>
                <w:szCs w:val="24"/>
              </w:rPr>
            </w:pPr>
            <w:r>
              <w:rPr>
                <w:b/>
                <w:color w:val="000000" w:themeColor="text1"/>
                <w:sz w:val="24"/>
                <w:szCs w:val="24"/>
              </w:rPr>
              <w:t>%</w:t>
            </w:r>
            <w:r w:rsidRPr="00327ABE">
              <w:rPr>
                <w:b/>
                <w:color w:val="000000" w:themeColor="text1"/>
                <w:sz w:val="24"/>
                <w:szCs w:val="24"/>
              </w:rPr>
              <w:t>85,41</w:t>
            </w:r>
          </w:p>
        </w:tc>
      </w:tr>
      <w:tr w:rsidR="00D9330B" w:rsidRPr="00D66F53" w14:paraId="1EA66C37" w14:textId="77777777" w:rsidTr="00286018">
        <w:trPr>
          <w:trHeight w:val="332"/>
        </w:trPr>
        <w:tc>
          <w:tcPr>
            <w:tcW w:w="1590" w:type="dxa"/>
            <w:vAlign w:val="bottom"/>
          </w:tcPr>
          <w:p w14:paraId="1CF03CFC" w14:textId="77777777" w:rsidR="00D9330B" w:rsidRPr="00D66F53" w:rsidRDefault="00D9330B" w:rsidP="00286018">
            <w:pPr>
              <w:jc w:val="center"/>
              <w:rPr>
                <w:rFonts w:cstheme="minorHAnsi"/>
                <w:b/>
                <w:sz w:val="24"/>
                <w:szCs w:val="24"/>
              </w:rPr>
            </w:pPr>
            <w:r>
              <w:rPr>
                <w:rFonts w:cstheme="minorHAnsi"/>
                <w:b/>
                <w:sz w:val="24"/>
                <w:szCs w:val="24"/>
              </w:rPr>
              <w:t>2020</w:t>
            </w:r>
          </w:p>
        </w:tc>
        <w:tc>
          <w:tcPr>
            <w:tcW w:w="1749" w:type="dxa"/>
            <w:vAlign w:val="center"/>
          </w:tcPr>
          <w:p w14:paraId="47605B39" w14:textId="77777777" w:rsidR="00D9330B" w:rsidRPr="008B2C0D" w:rsidRDefault="00D9330B" w:rsidP="00286018">
            <w:pPr>
              <w:jc w:val="center"/>
              <w:rPr>
                <w:color w:val="000000" w:themeColor="text1"/>
                <w:sz w:val="24"/>
                <w:szCs w:val="24"/>
              </w:rPr>
            </w:pPr>
            <w:r w:rsidRPr="008B2C0D">
              <w:rPr>
                <w:color w:val="000000" w:themeColor="text1"/>
                <w:sz w:val="24"/>
                <w:szCs w:val="24"/>
              </w:rPr>
              <w:t>153</w:t>
            </w:r>
            <w:r>
              <w:rPr>
                <w:color w:val="000000" w:themeColor="text1"/>
                <w:sz w:val="24"/>
                <w:szCs w:val="24"/>
              </w:rPr>
              <w:t>.</w:t>
            </w:r>
            <w:r w:rsidRPr="008B2C0D">
              <w:rPr>
                <w:color w:val="000000" w:themeColor="text1"/>
                <w:sz w:val="24"/>
                <w:szCs w:val="24"/>
              </w:rPr>
              <w:t>933</w:t>
            </w:r>
          </w:p>
        </w:tc>
        <w:tc>
          <w:tcPr>
            <w:tcW w:w="1399" w:type="dxa"/>
            <w:vAlign w:val="center"/>
          </w:tcPr>
          <w:p w14:paraId="56988514" w14:textId="77777777" w:rsidR="00D9330B" w:rsidRPr="008B2C0D" w:rsidRDefault="00D9330B" w:rsidP="00286018">
            <w:pPr>
              <w:jc w:val="center"/>
              <w:rPr>
                <w:color w:val="000000" w:themeColor="text1"/>
                <w:sz w:val="24"/>
                <w:szCs w:val="24"/>
              </w:rPr>
            </w:pPr>
            <w:r w:rsidRPr="008B2C0D">
              <w:rPr>
                <w:color w:val="000000" w:themeColor="text1"/>
                <w:sz w:val="24"/>
                <w:szCs w:val="24"/>
              </w:rPr>
              <w:t>13</w:t>
            </w:r>
            <w:r>
              <w:rPr>
                <w:color w:val="000000" w:themeColor="text1"/>
                <w:sz w:val="24"/>
                <w:szCs w:val="24"/>
              </w:rPr>
              <w:t>.</w:t>
            </w:r>
            <w:r w:rsidRPr="008B2C0D">
              <w:rPr>
                <w:color w:val="000000" w:themeColor="text1"/>
                <w:sz w:val="24"/>
                <w:szCs w:val="24"/>
              </w:rPr>
              <w:t>212</w:t>
            </w:r>
          </w:p>
        </w:tc>
        <w:tc>
          <w:tcPr>
            <w:tcW w:w="1984" w:type="dxa"/>
            <w:vAlign w:val="center"/>
          </w:tcPr>
          <w:p w14:paraId="34363545" w14:textId="77777777" w:rsidR="00D9330B" w:rsidRPr="00327ABE" w:rsidRDefault="00D9330B" w:rsidP="00286018">
            <w:pPr>
              <w:jc w:val="center"/>
              <w:rPr>
                <w:b/>
                <w:color w:val="000000" w:themeColor="text1"/>
                <w:sz w:val="24"/>
                <w:szCs w:val="24"/>
              </w:rPr>
            </w:pPr>
            <w:r>
              <w:rPr>
                <w:b/>
                <w:color w:val="000000" w:themeColor="text1"/>
                <w:sz w:val="24"/>
                <w:szCs w:val="24"/>
              </w:rPr>
              <w:t>%</w:t>
            </w:r>
            <w:r w:rsidRPr="00327ABE">
              <w:rPr>
                <w:b/>
                <w:color w:val="000000" w:themeColor="text1"/>
                <w:sz w:val="24"/>
                <w:szCs w:val="24"/>
              </w:rPr>
              <w:t>91,42</w:t>
            </w:r>
          </w:p>
        </w:tc>
      </w:tr>
      <w:bookmarkEnd w:id="1"/>
    </w:tbl>
    <w:p w14:paraId="71922CC7" w14:textId="77777777" w:rsidR="00D9330B" w:rsidRDefault="00D9330B" w:rsidP="00D9330B"/>
    <w:p w14:paraId="0FCCD458" w14:textId="77777777" w:rsidR="00D9330B" w:rsidRDefault="00D9330B" w:rsidP="00D9330B">
      <w:pPr>
        <w:pStyle w:val="NormalWeb"/>
        <w:spacing w:line="360" w:lineRule="auto"/>
        <w:jc w:val="both"/>
      </w:pPr>
      <w:r>
        <w:lastRenderedPageBreak/>
        <w:t xml:space="preserve">Yukarıdaki </w:t>
      </w:r>
      <w:proofErr w:type="spellStart"/>
      <w:r>
        <w:t>örgün</w:t>
      </w:r>
      <w:proofErr w:type="spellEnd"/>
      <w:r>
        <w:t xml:space="preserve"> </w:t>
      </w:r>
      <w:proofErr w:type="spellStart"/>
      <w:r>
        <w:t>öğretimdeki</w:t>
      </w:r>
      <w:proofErr w:type="spellEnd"/>
      <w:r>
        <w:t xml:space="preserve"> doluluk oranlarına ilişkin olumlu ve parlak tablo </w:t>
      </w:r>
      <w:proofErr w:type="spellStart"/>
      <w:r>
        <w:t>açıköğretim</w:t>
      </w:r>
      <w:proofErr w:type="spellEnd"/>
      <w:r>
        <w:t xml:space="preserve"> </w:t>
      </w:r>
      <w:proofErr w:type="spellStart"/>
      <w:r>
        <w:t>için</w:t>
      </w:r>
      <w:proofErr w:type="spellEnd"/>
      <w:r>
        <w:t xml:space="preserve"> de </w:t>
      </w:r>
      <w:proofErr w:type="spellStart"/>
      <w:r>
        <w:t>geçerlidir</w:t>
      </w:r>
      <w:proofErr w:type="spellEnd"/>
      <w:r>
        <w:t xml:space="preserve">. </w:t>
      </w:r>
      <w:r w:rsidRPr="00BB5FAD">
        <w:rPr>
          <w:b/>
          <w:bCs/>
        </w:rPr>
        <w:t>2018</w:t>
      </w:r>
      <w:r>
        <w:t xml:space="preserve"> yılında </w:t>
      </w:r>
      <w:proofErr w:type="spellStart"/>
      <w:r>
        <w:t>açıköğretim</w:t>
      </w:r>
      <w:proofErr w:type="spellEnd"/>
      <w:r>
        <w:t xml:space="preserve"> programlarında doluluk oranı </w:t>
      </w:r>
      <w:r w:rsidRPr="00BB5FAD">
        <w:rPr>
          <w:b/>
          <w:bCs/>
        </w:rPr>
        <w:t>%73,83, 2019</w:t>
      </w:r>
      <w:r>
        <w:t xml:space="preserve"> yılında </w:t>
      </w:r>
      <w:r w:rsidRPr="00BB5FAD">
        <w:rPr>
          <w:b/>
          <w:bCs/>
        </w:rPr>
        <w:t>%85,41</w:t>
      </w:r>
      <w:r>
        <w:t xml:space="preserve">, bu yıl ise </w:t>
      </w:r>
      <w:r w:rsidRPr="00BB5FAD">
        <w:rPr>
          <w:b/>
          <w:bCs/>
        </w:rPr>
        <w:t>%91,42</w:t>
      </w:r>
      <w:r>
        <w:t xml:space="preserve"> olarak </w:t>
      </w:r>
      <w:proofErr w:type="spellStart"/>
      <w:r>
        <w:t>gerçekleşmiştir</w:t>
      </w:r>
      <w:proofErr w:type="spellEnd"/>
      <w:r>
        <w:t xml:space="preserve">. </w:t>
      </w:r>
    </w:p>
    <w:p w14:paraId="3FFAE5CC" w14:textId="77777777" w:rsidR="00D9330B" w:rsidRDefault="00D9330B" w:rsidP="00D9330B">
      <w:pPr>
        <w:pStyle w:val="NormalWeb"/>
        <w:spacing w:line="360" w:lineRule="auto"/>
        <w:jc w:val="both"/>
      </w:pPr>
      <w:r>
        <w:t xml:space="preserve">Bu </w:t>
      </w:r>
      <w:proofErr w:type="spellStart"/>
      <w:r>
        <w:t>yükselişte</w:t>
      </w:r>
      <w:proofErr w:type="spellEnd"/>
      <w:r>
        <w:t xml:space="preserve"> </w:t>
      </w:r>
      <w:proofErr w:type="spellStart"/>
      <w:r>
        <w:t>açıköğretim</w:t>
      </w:r>
      <w:proofErr w:type="spellEnd"/>
      <w:r>
        <w:t xml:space="preserve"> programlarına </w:t>
      </w:r>
      <w:proofErr w:type="spellStart"/>
      <w:r>
        <w:t>ilişkin</w:t>
      </w:r>
      <w:proofErr w:type="spellEnd"/>
      <w:r>
        <w:t xml:space="preserve"> uygulanan rasyonel planlamanın </w:t>
      </w:r>
      <w:proofErr w:type="spellStart"/>
      <w:r>
        <w:t>yanısıra</w:t>
      </w:r>
      <w:proofErr w:type="spellEnd"/>
      <w:r>
        <w:t xml:space="preserve"> bu programlara </w:t>
      </w:r>
      <w:proofErr w:type="spellStart"/>
      <w:r>
        <w:t>ilişkin</w:t>
      </w:r>
      <w:proofErr w:type="spellEnd"/>
      <w:r>
        <w:t xml:space="preserve"> </w:t>
      </w:r>
      <w:proofErr w:type="spellStart"/>
      <w:r>
        <w:t>YÖK’ün</w:t>
      </w:r>
      <w:proofErr w:type="spellEnd"/>
      <w:r>
        <w:t xml:space="preserve"> kalite odaklı kararlarının da etkisi </w:t>
      </w:r>
      <w:proofErr w:type="spellStart"/>
      <w:r>
        <w:t>büyüktür</w:t>
      </w:r>
      <w:proofErr w:type="spellEnd"/>
      <w:r>
        <w:t xml:space="preserve">. </w:t>
      </w:r>
      <w:proofErr w:type="spellStart"/>
      <w:r>
        <w:t>Açıköğretim</w:t>
      </w:r>
      <w:proofErr w:type="spellEnd"/>
      <w:r>
        <w:t xml:space="preserve"> programlarına </w:t>
      </w:r>
      <w:proofErr w:type="spellStart"/>
      <w:r>
        <w:t>giris</w:t>
      </w:r>
      <w:proofErr w:type="spellEnd"/>
      <w:r>
        <w:t xml:space="preserve">̧ </w:t>
      </w:r>
      <w:proofErr w:type="spellStart"/>
      <w:r>
        <w:t>koşullarının</w:t>
      </w:r>
      <w:proofErr w:type="spellEnd"/>
      <w:r>
        <w:t xml:space="preserve"> aynı isimli </w:t>
      </w:r>
      <w:proofErr w:type="spellStart"/>
      <w:r>
        <w:t>örgün</w:t>
      </w:r>
      <w:proofErr w:type="spellEnd"/>
      <w:r>
        <w:t xml:space="preserve"> programlardakine benzer hale getirilmesi ve kontenjan sınırlaması şartının konulması, </w:t>
      </w:r>
      <w:proofErr w:type="spellStart"/>
      <w:r>
        <w:t>açıköğretim</w:t>
      </w:r>
      <w:proofErr w:type="spellEnd"/>
      <w:r>
        <w:t xml:space="preserve"> programlarının </w:t>
      </w:r>
      <w:proofErr w:type="spellStart"/>
      <w:r>
        <w:t>ölçme</w:t>
      </w:r>
      <w:proofErr w:type="spellEnd"/>
      <w:r>
        <w:t xml:space="preserve"> </w:t>
      </w:r>
      <w:proofErr w:type="spellStart"/>
      <w:r>
        <w:t>değerlendirme</w:t>
      </w:r>
      <w:proofErr w:type="spellEnd"/>
      <w:r>
        <w:t xml:space="preserve"> sistemine </w:t>
      </w:r>
      <w:proofErr w:type="spellStart"/>
      <w:r>
        <w:t>yönelik</w:t>
      </w:r>
      <w:proofErr w:type="spellEnd"/>
      <w:r>
        <w:t xml:space="preserve"> YÖK tarafından alınan birtakım </w:t>
      </w:r>
      <w:proofErr w:type="spellStart"/>
      <w:r>
        <w:t>iyileştirici</w:t>
      </w:r>
      <w:proofErr w:type="spellEnd"/>
      <w:r>
        <w:t xml:space="preserve"> kararlar, </w:t>
      </w:r>
      <w:proofErr w:type="spellStart"/>
      <w:r>
        <w:t>yükseköğretim</w:t>
      </w:r>
      <w:proofErr w:type="spellEnd"/>
      <w:r>
        <w:t xml:space="preserve"> sistemimizde </w:t>
      </w:r>
      <w:proofErr w:type="spellStart"/>
      <w:r>
        <w:t>özellikle</w:t>
      </w:r>
      <w:proofErr w:type="spellEnd"/>
      <w:r>
        <w:t xml:space="preserve"> kalite odaklı </w:t>
      </w:r>
      <w:proofErr w:type="spellStart"/>
      <w:r>
        <w:t>uyguladığımız</w:t>
      </w:r>
      <w:proofErr w:type="spellEnd"/>
      <w:r>
        <w:t xml:space="preserve"> politikalar ile uyumlu bir tablo </w:t>
      </w:r>
      <w:proofErr w:type="spellStart"/>
      <w:r>
        <w:t>oluşturmuştur</w:t>
      </w:r>
      <w:proofErr w:type="spellEnd"/>
      <w:r>
        <w:t xml:space="preserve">. </w:t>
      </w:r>
      <w:proofErr w:type="spellStart"/>
      <w:r>
        <w:t>Önümüzdeki</w:t>
      </w:r>
      <w:proofErr w:type="spellEnd"/>
      <w:r>
        <w:t xml:space="preserve"> yıllar da bu olumlu </w:t>
      </w:r>
      <w:proofErr w:type="spellStart"/>
      <w:r>
        <w:t>yükselişin</w:t>
      </w:r>
      <w:proofErr w:type="spellEnd"/>
      <w:r>
        <w:t xml:space="preserve"> devam etmesi beklenmektedir. Bu anlamlı </w:t>
      </w:r>
      <w:proofErr w:type="spellStart"/>
      <w:r>
        <w:t>iyileşme</w:t>
      </w:r>
      <w:proofErr w:type="spellEnd"/>
      <w:r>
        <w:t xml:space="preserve">, dört sene </w:t>
      </w:r>
      <w:proofErr w:type="spellStart"/>
      <w:r>
        <w:t>önce</w:t>
      </w:r>
      <w:proofErr w:type="spellEnd"/>
      <w:r>
        <w:t xml:space="preserve"> belirlenen plana uygun olarak </w:t>
      </w:r>
      <w:proofErr w:type="spellStart"/>
      <w:r>
        <w:t>sürmektedir</w:t>
      </w:r>
      <w:proofErr w:type="spellEnd"/>
      <w:r>
        <w:t xml:space="preserve">. </w:t>
      </w:r>
    </w:p>
    <w:p w14:paraId="174E94EF" w14:textId="77777777" w:rsidR="00D9330B" w:rsidRDefault="00D9330B" w:rsidP="00D9330B">
      <w:pPr>
        <w:pStyle w:val="NormalWeb"/>
      </w:pPr>
      <w:r>
        <w:rPr>
          <w:rFonts w:ascii="TimesNewRomanPS" w:hAnsi="TimesNewRomanPS"/>
          <w:b/>
          <w:bCs/>
        </w:rPr>
        <w:t>9.</w:t>
      </w:r>
      <w:proofErr w:type="gramStart"/>
      <w:r>
        <w:rPr>
          <w:rFonts w:ascii="TimesNewRomanPS" w:hAnsi="TimesNewRomanPS"/>
          <w:b/>
          <w:bCs/>
        </w:rPr>
        <w:t>Temel  Bilimler</w:t>
      </w:r>
      <w:proofErr w:type="gramEnd"/>
      <w:r>
        <w:rPr>
          <w:rFonts w:ascii="TimesNewRomanPS" w:hAnsi="TimesNewRomanPS"/>
          <w:b/>
          <w:bCs/>
        </w:rPr>
        <w:t xml:space="preserve"> Programlarına </w:t>
      </w:r>
      <w:proofErr w:type="spellStart"/>
      <w:r>
        <w:rPr>
          <w:rFonts w:ascii="TimesNewRomanPS" w:hAnsi="TimesNewRomanPS"/>
          <w:b/>
          <w:bCs/>
        </w:rPr>
        <w:t>Yerleşme</w:t>
      </w:r>
      <w:proofErr w:type="spellEnd"/>
      <w:r>
        <w:rPr>
          <w:rFonts w:ascii="TimesNewRomanPS" w:hAnsi="TimesNewRomanPS"/>
          <w:b/>
          <w:bCs/>
        </w:rPr>
        <w:t xml:space="preserve"> Sayıları </w:t>
      </w:r>
    </w:p>
    <w:p w14:paraId="3CB455CA" w14:textId="77777777" w:rsidR="00D9330B" w:rsidRDefault="00D9330B" w:rsidP="00D9330B">
      <w:pPr>
        <w:pStyle w:val="NormalWeb"/>
        <w:spacing w:line="360" w:lineRule="auto"/>
        <w:jc w:val="both"/>
      </w:pPr>
      <w:r>
        <w:t xml:space="preserve">Yeni YÖK, Temel Bilimlerin nitelikli öğrencilerin meylettiği programlar olması için son yıllarda bir dizi tedbir uygulamış ve bunların sonuçları alınmaya başlanmıştır. İktisadi kalkınmada etkisi </w:t>
      </w:r>
      <w:proofErr w:type="spellStart"/>
      <w:r>
        <w:t>yüksek</w:t>
      </w:r>
      <w:proofErr w:type="spellEnd"/>
      <w:r>
        <w:t xml:space="preserve"> olan Temel Bilimler programlarına </w:t>
      </w:r>
      <w:proofErr w:type="spellStart"/>
      <w:r>
        <w:t>ilişkin</w:t>
      </w:r>
      <w:proofErr w:type="spellEnd"/>
      <w:r>
        <w:t xml:space="preserve"> </w:t>
      </w:r>
      <w:proofErr w:type="spellStart"/>
      <w:r>
        <w:t>YÖK’ün</w:t>
      </w:r>
      <w:proofErr w:type="spellEnd"/>
      <w:r>
        <w:t xml:space="preserve"> </w:t>
      </w:r>
      <w:proofErr w:type="spellStart"/>
      <w:r>
        <w:t>düzenlemeleri</w:t>
      </w:r>
      <w:proofErr w:type="spellEnd"/>
      <w:r>
        <w:t xml:space="preserve"> ve projeleri bu programların tercih edilme oranlarını </w:t>
      </w:r>
      <w:proofErr w:type="spellStart"/>
      <w:r>
        <w:t>arttırmıştır</w:t>
      </w:r>
      <w:proofErr w:type="spellEnd"/>
      <w:r>
        <w:t>.</w:t>
      </w:r>
    </w:p>
    <w:p w14:paraId="6D4BEC5D" w14:textId="77777777" w:rsidR="00D9330B" w:rsidRDefault="00D9330B" w:rsidP="00D9330B">
      <w:pPr>
        <w:pStyle w:val="NormalWeb"/>
        <w:spacing w:line="360" w:lineRule="auto"/>
        <w:jc w:val="both"/>
      </w:pPr>
      <w:r w:rsidRPr="005D2962">
        <w:rPr>
          <w:b/>
        </w:rPr>
        <w:t xml:space="preserve">Biyoloji </w:t>
      </w:r>
      <w:r>
        <w:t xml:space="preserve">programına 2019 yılında; </w:t>
      </w:r>
      <w:r w:rsidRPr="0080619E">
        <w:rPr>
          <w:b/>
        </w:rPr>
        <w:t>1.954</w:t>
      </w:r>
      <w:r>
        <w:t xml:space="preserve"> kontenjana </w:t>
      </w:r>
      <w:r>
        <w:rPr>
          <w:rFonts w:ascii="TimesNewRomanPS" w:hAnsi="TimesNewRomanPS"/>
          <w:b/>
          <w:bCs/>
        </w:rPr>
        <w:t>1</w:t>
      </w:r>
      <w:r>
        <w:t>.</w:t>
      </w:r>
      <w:r>
        <w:rPr>
          <w:rFonts w:ascii="TimesNewRomanPS" w:hAnsi="TimesNewRomanPS"/>
          <w:b/>
          <w:bCs/>
        </w:rPr>
        <w:t xml:space="preserve">935 </w:t>
      </w:r>
      <w:proofErr w:type="spellStart"/>
      <w:r>
        <w:t>öğrenci</w:t>
      </w:r>
      <w:proofErr w:type="spellEnd"/>
      <w:r>
        <w:t xml:space="preserve"> </w:t>
      </w:r>
      <w:proofErr w:type="spellStart"/>
      <w:r>
        <w:t>yerleşmis</w:t>
      </w:r>
      <w:proofErr w:type="spellEnd"/>
      <w:r>
        <w:t xml:space="preserve">̧ iken </w:t>
      </w:r>
      <w:r w:rsidRPr="0080619E">
        <w:t xml:space="preserve">2020 yılında </w:t>
      </w:r>
      <w:r w:rsidRPr="0080619E">
        <w:rPr>
          <w:b/>
        </w:rPr>
        <w:t>2.079</w:t>
      </w:r>
      <w:r w:rsidRPr="0080619E">
        <w:t xml:space="preserve"> kontenjana </w:t>
      </w:r>
      <w:r w:rsidRPr="0080619E">
        <w:rPr>
          <w:rFonts w:ascii="TimesNewRomanPS" w:hAnsi="TimesNewRomanPS"/>
          <w:b/>
          <w:bCs/>
        </w:rPr>
        <w:t>2</w:t>
      </w:r>
      <w:r w:rsidRPr="0080619E">
        <w:t>.</w:t>
      </w:r>
      <w:r w:rsidRPr="0080619E">
        <w:rPr>
          <w:rFonts w:ascii="TimesNewRomanPS" w:hAnsi="TimesNewRomanPS"/>
          <w:b/>
          <w:bCs/>
        </w:rPr>
        <w:t xml:space="preserve">078 </w:t>
      </w:r>
      <w:proofErr w:type="spellStart"/>
      <w:r w:rsidRPr="0080619E">
        <w:t>öğrenci</w:t>
      </w:r>
      <w:proofErr w:type="spellEnd"/>
      <w:r w:rsidRPr="0080619E">
        <w:t xml:space="preserve"> </w:t>
      </w:r>
      <w:r>
        <w:t xml:space="preserve">yerleşmiştir </w:t>
      </w:r>
      <w:r w:rsidRPr="0080619E">
        <w:t xml:space="preserve">(doluluk </w:t>
      </w:r>
      <w:proofErr w:type="gramStart"/>
      <w:r w:rsidRPr="0080619E">
        <w:rPr>
          <w:b/>
          <w:bCs/>
        </w:rPr>
        <w:t>% 99.3</w:t>
      </w:r>
      <w:proofErr w:type="gramEnd"/>
      <w:r w:rsidRPr="0080619E">
        <w:rPr>
          <w:b/>
          <w:bCs/>
        </w:rPr>
        <w:t>’ten % 99.95’e yükselmiştir!)</w:t>
      </w:r>
      <w:r>
        <w:rPr>
          <w:b/>
          <w:bCs/>
        </w:rPr>
        <w:t>.</w:t>
      </w:r>
    </w:p>
    <w:p w14:paraId="14B79EA7" w14:textId="77777777" w:rsidR="00D9330B" w:rsidRDefault="00D9330B" w:rsidP="00D9330B">
      <w:pPr>
        <w:pStyle w:val="NormalWeb"/>
        <w:spacing w:line="360" w:lineRule="auto"/>
        <w:jc w:val="both"/>
      </w:pPr>
      <w:r>
        <w:rPr>
          <w:rFonts w:ascii="TimesNewRomanPS" w:hAnsi="TimesNewRomanPS"/>
          <w:b/>
          <w:bCs/>
        </w:rPr>
        <w:t xml:space="preserve">Fizik </w:t>
      </w:r>
      <w:r>
        <w:t xml:space="preserve">programına 2019 yılında 1.278 kontenjana </w:t>
      </w:r>
      <w:r>
        <w:rPr>
          <w:rFonts w:ascii="TimesNewRomanPS" w:hAnsi="TimesNewRomanPS"/>
          <w:b/>
          <w:bCs/>
        </w:rPr>
        <w:t>1</w:t>
      </w:r>
      <w:r>
        <w:t>.</w:t>
      </w:r>
      <w:r>
        <w:rPr>
          <w:rFonts w:ascii="TimesNewRomanPS" w:hAnsi="TimesNewRomanPS"/>
          <w:b/>
          <w:bCs/>
        </w:rPr>
        <w:t xml:space="preserve">224 </w:t>
      </w:r>
      <w:proofErr w:type="spellStart"/>
      <w:r>
        <w:t>öğrenci</w:t>
      </w:r>
      <w:proofErr w:type="spellEnd"/>
      <w:r>
        <w:t xml:space="preserve"> </w:t>
      </w:r>
      <w:proofErr w:type="spellStart"/>
      <w:r>
        <w:t>yerleşmis</w:t>
      </w:r>
      <w:proofErr w:type="spellEnd"/>
      <w:r>
        <w:t xml:space="preserve">̧ iken 2020 yılında </w:t>
      </w:r>
      <w:r w:rsidRPr="0080619E">
        <w:rPr>
          <w:b/>
        </w:rPr>
        <w:t>1.405</w:t>
      </w:r>
      <w:r>
        <w:t xml:space="preserve"> kontenjana </w:t>
      </w:r>
      <w:r>
        <w:rPr>
          <w:rFonts w:ascii="TimesNewRomanPS" w:hAnsi="TimesNewRomanPS"/>
          <w:b/>
          <w:bCs/>
        </w:rPr>
        <w:t>1</w:t>
      </w:r>
      <w:r>
        <w:t>.</w:t>
      </w:r>
      <w:r>
        <w:rPr>
          <w:rFonts w:ascii="TimesNewRomanPS" w:hAnsi="TimesNewRomanPS"/>
          <w:b/>
          <w:bCs/>
        </w:rPr>
        <w:t xml:space="preserve">404 </w:t>
      </w:r>
      <w:proofErr w:type="spellStart"/>
      <w:r>
        <w:t>öğrenci</w:t>
      </w:r>
      <w:proofErr w:type="spellEnd"/>
      <w:r>
        <w:t xml:space="preserve"> yerleşmiştir (doluluk </w:t>
      </w:r>
      <w:proofErr w:type="gramStart"/>
      <w:r w:rsidRPr="00BB5FAD">
        <w:rPr>
          <w:b/>
          <w:bCs/>
        </w:rPr>
        <w:t>%</w:t>
      </w:r>
      <w:r>
        <w:rPr>
          <w:b/>
          <w:bCs/>
        </w:rPr>
        <w:t xml:space="preserve"> 95.77</w:t>
      </w:r>
      <w:proofErr w:type="gramEnd"/>
      <w:r>
        <w:rPr>
          <w:b/>
          <w:bCs/>
        </w:rPr>
        <w:t xml:space="preserve">’den </w:t>
      </w:r>
      <w:r w:rsidRPr="00BB5FAD">
        <w:rPr>
          <w:b/>
          <w:bCs/>
        </w:rPr>
        <w:t>%</w:t>
      </w:r>
      <w:r>
        <w:rPr>
          <w:b/>
          <w:bCs/>
        </w:rPr>
        <w:t xml:space="preserve"> 99.93’e yükselmiştir!).</w:t>
      </w:r>
    </w:p>
    <w:p w14:paraId="634E31AD" w14:textId="77777777" w:rsidR="00D9330B" w:rsidRDefault="00D9330B" w:rsidP="00D9330B">
      <w:pPr>
        <w:pStyle w:val="NormalWeb"/>
        <w:spacing w:line="360" w:lineRule="auto"/>
        <w:jc w:val="both"/>
      </w:pPr>
      <w:r>
        <w:rPr>
          <w:rFonts w:ascii="TimesNewRomanPS" w:hAnsi="TimesNewRomanPS"/>
          <w:b/>
          <w:bCs/>
        </w:rPr>
        <w:t xml:space="preserve">Kimya </w:t>
      </w:r>
      <w:r>
        <w:t xml:space="preserve">programına 2019 yılında 2175 kontenjana </w:t>
      </w:r>
      <w:r>
        <w:rPr>
          <w:rFonts w:ascii="TimesNewRomanPS" w:hAnsi="TimesNewRomanPS"/>
          <w:b/>
          <w:bCs/>
        </w:rPr>
        <w:t xml:space="preserve">2.168 </w:t>
      </w:r>
      <w:proofErr w:type="spellStart"/>
      <w:r>
        <w:t>öğrenci</w:t>
      </w:r>
      <w:proofErr w:type="spellEnd"/>
      <w:r>
        <w:t xml:space="preserve"> </w:t>
      </w:r>
      <w:proofErr w:type="spellStart"/>
      <w:r>
        <w:t>yerleşmis</w:t>
      </w:r>
      <w:proofErr w:type="spellEnd"/>
      <w:r>
        <w:t xml:space="preserve">̧ iken 2020 yılında </w:t>
      </w:r>
      <w:r w:rsidRPr="0080619E">
        <w:rPr>
          <w:b/>
        </w:rPr>
        <w:t>2.254</w:t>
      </w:r>
      <w:r>
        <w:t xml:space="preserve"> kontenjana </w:t>
      </w:r>
      <w:r>
        <w:rPr>
          <w:rFonts w:ascii="TimesNewRomanPS" w:hAnsi="TimesNewRomanPS"/>
          <w:b/>
          <w:bCs/>
        </w:rPr>
        <w:t xml:space="preserve">2254 </w:t>
      </w:r>
      <w:proofErr w:type="spellStart"/>
      <w:r>
        <w:t>öğrenci</w:t>
      </w:r>
      <w:proofErr w:type="spellEnd"/>
      <w:r>
        <w:t xml:space="preserve"> yerleşmiştir (doluluk </w:t>
      </w:r>
      <w:proofErr w:type="gramStart"/>
      <w:r w:rsidRPr="00BB5FAD">
        <w:rPr>
          <w:b/>
          <w:bCs/>
        </w:rPr>
        <w:t>%</w:t>
      </w:r>
      <w:r>
        <w:rPr>
          <w:b/>
          <w:bCs/>
        </w:rPr>
        <w:t xml:space="preserve"> 99,68</w:t>
      </w:r>
      <w:proofErr w:type="gramEnd"/>
      <w:r>
        <w:rPr>
          <w:b/>
          <w:bCs/>
        </w:rPr>
        <w:t xml:space="preserve">’den </w:t>
      </w:r>
      <w:r w:rsidRPr="00BB5FAD">
        <w:rPr>
          <w:b/>
          <w:bCs/>
        </w:rPr>
        <w:t>%</w:t>
      </w:r>
      <w:r>
        <w:rPr>
          <w:b/>
          <w:bCs/>
        </w:rPr>
        <w:t xml:space="preserve"> 100’e yükselmiştir!).</w:t>
      </w:r>
    </w:p>
    <w:p w14:paraId="49D49EDA" w14:textId="77777777" w:rsidR="00D9330B" w:rsidRDefault="00D9330B" w:rsidP="00D9330B">
      <w:pPr>
        <w:pStyle w:val="NormalWeb"/>
        <w:spacing w:line="360" w:lineRule="auto"/>
        <w:jc w:val="both"/>
      </w:pPr>
      <w:r w:rsidRPr="00327ABE">
        <w:rPr>
          <w:rFonts w:ascii="TimesNewRomanPS" w:hAnsi="TimesNewRomanPS"/>
          <w:b/>
          <w:bCs/>
        </w:rPr>
        <w:t xml:space="preserve">Matematik </w:t>
      </w:r>
      <w:r w:rsidRPr="00327ABE">
        <w:t xml:space="preserve">programına </w:t>
      </w:r>
      <w:r>
        <w:t>20</w:t>
      </w:r>
      <w:r w:rsidRPr="00635718">
        <w:t>19</w:t>
      </w:r>
      <w:r>
        <w:t xml:space="preserve"> yılında 5017 kontenjana </w:t>
      </w:r>
      <w:r w:rsidRPr="00635718">
        <w:rPr>
          <w:rFonts w:ascii="TimesNewRomanPS" w:hAnsi="TimesNewRomanPS"/>
          <w:b/>
          <w:bCs/>
        </w:rPr>
        <w:t xml:space="preserve">5.002 </w:t>
      </w:r>
      <w:proofErr w:type="spellStart"/>
      <w:r w:rsidRPr="00635718">
        <w:t>öğrenci</w:t>
      </w:r>
      <w:proofErr w:type="spellEnd"/>
      <w:r w:rsidRPr="00635718">
        <w:t xml:space="preserve"> </w:t>
      </w:r>
      <w:proofErr w:type="spellStart"/>
      <w:r w:rsidRPr="00635718">
        <w:t>yerleşmis</w:t>
      </w:r>
      <w:proofErr w:type="spellEnd"/>
      <w:r w:rsidRPr="00635718">
        <w:t>̧ iken 2020 yılında</w:t>
      </w:r>
      <w:r w:rsidRPr="00327ABE">
        <w:t xml:space="preserve"> </w:t>
      </w:r>
      <w:r w:rsidRPr="0080619E">
        <w:rPr>
          <w:b/>
        </w:rPr>
        <w:t xml:space="preserve">5298 </w:t>
      </w:r>
      <w:r>
        <w:t xml:space="preserve">kontenjana </w:t>
      </w:r>
      <w:r>
        <w:rPr>
          <w:rFonts w:ascii="TimesNewRomanPS" w:hAnsi="TimesNewRomanPS"/>
          <w:b/>
          <w:bCs/>
        </w:rPr>
        <w:t>5</w:t>
      </w:r>
      <w:r w:rsidRPr="00327ABE">
        <w:rPr>
          <w:rFonts w:ascii="TimesNewRomanPS" w:hAnsi="TimesNewRomanPS"/>
          <w:b/>
          <w:bCs/>
        </w:rPr>
        <w:t xml:space="preserve">298 </w:t>
      </w:r>
      <w:proofErr w:type="spellStart"/>
      <w:r>
        <w:t>öğrenci</w:t>
      </w:r>
      <w:proofErr w:type="spellEnd"/>
      <w:r>
        <w:t xml:space="preserve"> yerleşmiştir (doluluk </w:t>
      </w:r>
      <w:proofErr w:type="gramStart"/>
      <w:r w:rsidRPr="00BB5FAD">
        <w:rPr>
          <w:b/>
          <w:bCs/>
        </w:rPr>
        <w:t>%</w:t>
      </w:r>
      <w:r>
        <w:rPr>
          <w:b/>
          <w:bCs/>
        </w:rPr>
        <w:t xml:space="preserve"> 99,70</w:t>
      </w:r>
      <w:proofErr w:type="gramEnd"/>
      <w:r>
        <w:rPr>
          <w:b/>
          <w:bCs/>
        </w:rPr>
        <w:t xml:space="preserve">’den </w:t>
      </w:r>
      <w:r w:rsidRPr="00BB5FAD">
        <w:rPr>
          <w:b/>
          <w:bCs/>
        </w:rPr>
        <w:t>%</w:t>
      </w:r>
      <w:r>
        <w:rPr>
          <w:b/>
          <w:bCs/>
        </w:rPr>
        <w:t xml:space="preserve"> 100’e yükselmiştir!).</w:t>
      </w:r>
    </w:p>
    <w:p w14:paraId="7CDEE556" w14:textId="77777777" w:rsidR="00D9330B" w:rsidRDefault="00D9330B" w:rsidP="00D9330B">
      <w:pPr>
        <w:adjustRightInd w:val="0"/>
        <w:spacing w:line="360" w:lineRule="auto"/>
        <w:contextualSpacing/>
        <w:jc w:val="both"/>
        <w:rPr>
          <w:sz w:val="24"/>
          <w:szCs w:val="24"/>
        </w:rPr>
      </w:pPr>
      <w:r>
        <w:rPr>
          <w:sz w:val="24"/>
          <w:szCs w:val="24"/>
        </w:rPr>
        <w:t xml:space="preserve">Diğer bir ifade ile </w:t>
      </w:r>
      <w:r w:rsidRPr="004A075B">
        <w:rPr>
          <w:b/>
          <w:bCs/>
          <w:sz w:val="24"/>
          <w:szCs w:val="24"/>
        </w:rPr>
        <w:t>2019</w:t>
      </w:r>
      <w:r w:rsidRPr="00327ABE">
        <w:rPr>
          <w:sz w:val="24"/>
          <w:szCs w:val="24"/>
        </w:rPr>
        <w:t xml:space="preserve"> yılında Temel Bilimler programlarına toplam </w:t>
      </w:r>
      <w:r>
        <w:rPr>
          <w:rFonts w:ascii="TimesNewRomanPS" w:hAnsi="TimesNewRomanPS"/>
          <w:b/>
          <w:bCs/>
          <w:sz w:val="24"/>
          <w:szCs w:val="24"/>
        </w:rPr>
        <w:t>10.329</w:t>
      </w:r>
      <w:r w:rsidRPr="00327ABE">
        <w:rPr>
          <w:rFonts w:ascii="TimesNewRomanPS" w:hAnsi="TimesNewRomanPS"/>
          <w:b/>
          <w:bCs/>
          <w:sz w:val="24"/>
          <w:szCs w:val="24"/>
        </w:rPr>
        <w:t xml:space="preserve"> </w:t>
      </w:r>
      <w:proofErr w:type="spellStart"/>
      <w:r>
        <w:rPr>
          <w:sz w:val="24"/>
          <w:szCs w:val="24"/>
        </w:rPr>
        <w:t>öğrenci</w:t>
      </w:r>
      <w:proofErr w:type="spellEnd"/>
      <w:r>
        <w:rPr>
          <w:sz w:val="24"/>
          <w:szCs w:val="24"/>
        </w:rPr>
        <w:t xml:space="preserve"> </w:t>
      </w:r>
      <w:proofErr w:type="spellStart"/>
      <w:r>
        <w:rPr>
          <w:sz w:val="24"/>
          <w:szCs w:val="24"/>
        </w:rPr>
        <w:t>yerleşirken</w:t>
      </w:r>
      <w:proofErr w:type="spellEnd"/>
      <w:r>
        <w:rPr>
          <w:sz w:val="24"/>
          <w:szCs w:val="24"/>
        </w:rPr>
        <w:t xml:space="preserve">, </w:t>
      </w:r>
      <w:r w:rsidRPr="004A075B">
        <w:rPr>
          <w:b/>
          <w:bCs/>
          <w:sz w:val="24"/>
          <w:szCs w:val="24"/>
        </w:rPr>
        <w:t>2020</w:t>
      </w:r>
      <w:r w:rsidRPr="00327ABE">
        <w:rPr>
          <w:sz w:val="24"/>
          <w:szCs w:val="24"/>
        </w:rPr>
        <w:t xml:space="preserve"> yılında toplam </w:t>
      </w:r>
      <w:r>
        <w:rPr>
          <w:rFonts w:ascii="TimesNewRomanPS" w:hAnsi="TimesNewRomanPS"/>
          <w:b/>
          <w:bCs/>
          <w:sz w:val="24"/>
          <w:szCs w:val="24"/>
        </w:rPr>
        <w:t>11.034</w:t>
      </w:r>
      <w:r w:rsidRPr="00327ABE">
        <w:rPr>
          <w:rFonts w:ascii="TimesNewRomanPS" w:hAnsi="TimesNewRomanPS"/>
          <w:b/>
          <w:bCs/>
          <w:sz w:val="24"/>
          <w:szCs w:val="24"/>
        </w:rPr>
        <w:t xml:space="preserve"> </w:t>
      </w:r>
      <w:proofErr w:type="spellStart"/>
      <w:r w:rsidRPr="00327ABE">
        <w:rPr>
          <w:sz w:val="24"/>
          <w:szCs w:val="24"/>
        </w:rPr>
        <w:t>öğrenci</w:t>
      </w:r>
      <w:proofErr w:type="spellEnd"/>
      <w:r w:rsidRPr="00327ABE">
        <w:rPr>
          <w:sz w:val="24"/>
          <w:szCs w:val="24"/>
        </w:rPr>
        <w:t xml:space="preserve"> bu programlara </w:t>
      </w:r>
      <w:proofErr w:type="spellStart"/>
      <w:r w:rsidRPr="00327ABE">
        <w:rPr>
          <w:sz w:val="24"/>
          <w:szCs w:val="24"/>
        </w:rPr>
        <w:t>yerleşmiştir</w:t>
      </w:r>
      <w:proofErr w:type="spellEnd"/>
      <w:r w:rsidRPr="00327ABE">
        <w:rPr>
          <w:sz w:val="24"/>
          <w:szCs w:val="24"/>
        </w:rPr>
        <w:t>.</w:t>
      </w:r>
      <w:r>
        <w:rPr>
          <w:sz w:val="24"/>
          <w:szCs w:val="24"/>
        </w:rPr>
        <w:t xml:space="preserve"> Programların dördünde de doluluk çok yüksek olmakla birlikte özellikle Kimya ve Matematik programlarındaki doluluk oranı, en fazla talep gören Tıp programı ile yarışır duruma gelmiştir </w:t>
      </w:r>
    </w:p>
    <w:p w14:paraId="0E1113C6" w14:textId="77777777" w:rsidR="00D9330B" w:rsidRDefault="00D9330B" w:rsidP="00D9330B">
      <w:pPr>
        <w:adjustRightInd w:val="0"/>
        <w:spacing w:line="360" w:lineRule="auto"/>
        <w:contextualSpacing/>
        <w:jc w:val="both"/>
        <w:rPr>
          <w:sz w:val="24"/>
          <w:szCs w:val="24"/>
        </w:rPr>
      </w:pPr>
      <w:proofErr w:type="spellStart"/>
      <w:r w:rsidRPr="00327ABE">
        <w:rPr>
          <w:sz w:val="24"/>
          <w:szCs w:val="24"/>
        </w:rPr>
        <w:t>Ülkemizin</w:t>
      </w:r>
      <w:proofErr w:type="spellEnd"/>
      <w:r w:rsidRPr="00327ABE">
        <w:rPr>
          <w:sz w:val="24"/>
          <w:szCs w:val="24"/>
        </w:rPr>
        <w:t xml:space="preserve"> bilgi temelli </w:t>
      </w:r>
      <w:proofErr w:type="spellStart"/>
      <w:r w:rsidRPr="00327ABE">
        <w:rPr>
          <w:sz w:val="24"/>
          <w:szCs w:val="24"/>
        </w:rPr>
        <w:t>gelişiminin</w:t>
      </w:r>
      <w:proofErr w:type="spellEnd"/>
      <w:r w:rsidRPr="00327ABE">
        <w:rPr>
          <w:sz w:val="24"/>
          <w:szCs w:val="24"/>
        </w:rPr>
        <w:t xml:space="preserve"> zeminini </w:t>
      </w:r>
      <w:proofErr w:type="spellStart"/>
      <w:r w:rsidRPr="00327ABE">
        <w:rPr>
          <w:sz w:val="24"/>
          <w:szCs w:val="24"/>
        </w:rPr>
        <w:t>oluşturan</w:t>
      </w:r>
      <w:proofErr w:type="spellEnd"/>
      <w:r w:rsidRPr="00327ABE">
        <w:rPr>
          <w:sz w:val="24"/>
          <w:szCs w:val="24"/>
        </w:rPr>
        <w:t xml:space="preserve"> temel bilim programlarına </w:t>
      </w:r>
      <w:proofErr w:type="spellStart"/>
      <w:r w:rsidRPr="00327ABE">
        <w:rPr>
          <w:sz w:val="24"/>
          <w:szCs w:val="24"/>
        </w:rPr>
        <w:t>öğrencilerimizin</w:t>
      </w:r>
      <w:proofErr w:type="spellEnd"/>
      <w:r w:rsidRPr="00327ABE">
        <w:rPr>
          <w:sz w:val="24"/>
          <w:szCs w:val="24"/>
        </w:rPr>
        <w:t xml:space="preserve"> ilgi </w:t>
      </w:r>
      <w:proofErr w:type="spellStart"/>
      <w:r w:rsidRPr="00327ABE">
        <w:rPr>
          <w:sz w:val="24"/>
          <w:szCs w:val="24"/>
        </w:rPr>
        <w:t>göstermesi</w:t>
      </w:r>
      <w:proofErr w:type="spellEnd"/>
      <w:r w:rsidRPr="00327ABE">
        <w:rPr>
          <w:sz w:val="24"/>
          <w:szCs w:val="24"/>
        </w:rPr>
        <w:t xml:space="preserve"> </w:t>
      </w:r>
      <w:proofErr w:type="spellStart"/>
      <w:r w:rsidRPr="00327ABE">
        <w:rPr>
          <w:sz w:val="24"/>
          <w:szCs w:val="24"/>
        </w:rPr>
        <w:t>ülkemizin</w:t>
      </w:r>
      <w:proofErr w:type="spellEnd"/>
      <w:r w:rsidRPr="00327ABE">
        <w:rPr>
          <w:sz w:val="24"/>
          <w:szCs w:val="24"/>
        </w:rPr>
        <w:t xml:space="preserve"> iktisadi kalkınmasına </w:t>
      </w:r>
      <w:proofErr w:type="spellStart"/>
      <w:r w:rsidRPr="00327ABE">
        <w:rPr>
          <w:sz w:val="24"/>
          <w:szCs w:val="24"/>
        </w:rPr>
        <w:t>önemli</w:t>
      </w:r>
      <w:proofErr w:type="spellEnd"/>
      <w:r w:rsidRPr="00327ABE">
        <w:rPr>
          <w:sz w:val="24"/>
          <w:szCs w:val="24"/>
        </w:rPr>
        <w:t xml:space="preserve"> katkılar sunacaktır. Bu programlara </w:t>
      </w:r>
      <w:proofErr w:type="spellStart"/>
      <w:r w:rsidRPr="00327ABE">
        <w:rPr>
          <w:sz w:val="24"/>
          <w:szCs w:val="24"/>
        </w:rPr>
        <w:t>ilişkin</w:t>
      </w:r>
      <w:proofErr w:type="spellEnd"/>
      <w:r w:rsidRPr="00327ABE">
        <w:rPr>
          <w:sz w:val="24"/>
          <w:szCs w:val="24"/>
        </w:rPr>
        <w:t xml:space="preserve"> </w:t>
      </w:r>
      <w:proofErr w:type="spellStart"/>
      <w:r w:rsidRPr="00327ABE">
        <w:rPr>
          <w:sz w:val="24"/>
          <w:szCs w:val="24"/>
        </w:rPr>
        <w:t>YÖK’ün</w:t>
      </w:r>
      <w:proofErr w:type="spellEnd"/>
      <w:r w:rsidRPr="00327ABE">
        <w:rPr>
          <w:sz w:val="24"/>
          <w:szCs w:val="24"/>
        </w:rPr>
        <w:t xml:space="preserve"> </w:t>
      </w:r>
      <w:proofErr w:type="spellStart"/>
      <w:r w:rsidRPr="00327ABE">
        <w:rPr>
          <w:sz w:val="24"/>
          <w:szCs w:val="24"/>
        </w:rPr>
        <w:lastRenderedPageBreak/>
        <w:t>başarı</w:t>
      </w:r>
      <w:proofErr w:type="spellEnd"/>
      <w:r w:rsidRPr="00327ABE">
        <w:rPr>
          <w:sz w:val="24"/>
          <w:szCs w:val="24"/>
        </w:rPr>
        <w:t xml:space="preserve"> bursu uygulaması, bilim </w:t>
      </w:r>
      <w:proofErr w:type="spellStart"/>
      <w:r w:rsidRPr="00327ABE">
        <w:rPr>
          <w:sz w:val="24"/>
          <w:szCs w:val="24"/>
        </w:rPr>
        <w:t>dünyası</w:t>
      </w:r>
      <w:proofErr w:type="spellEnd"/>
      <w:r w:rsidRPr="00327ABE">
        <w:rPr>
          <w:sz w:val="24"/>
          <w:szCs w:val="24"/>
        </w:rPr>
        <w:t xml:space="preserve"> </w:t>
      </w:r>
      <w:proofErr w:type="spellStart"/>
      <w:r w:rsidRPr="00327ABE">
        <w:rPr>
          <w:sz w:val="24"/>
          <w:szCs w:val="24"/>
        </w:rPr>
        <w:t>için</w:t>
      </w:r>
      <w:proofErr w:type="spellEnd"/>
      <w:r w:rsidRPr="00327ABE">
        <w:rPr>
          <w:sz w:val="24"/>
          <w:szCs w:val="24"/>
        </w:rPr>
        <w:t xml:space="preserve"> bir ilk olan YÖK-TEBİP (Temel Bilimlerde </w:t>
      </w:r>
      <w:proofErr w:type="spellStart"/>
      <w:r w:rsidRPr="00327ABE">
        <w:rPr>
          <w:sz w:val="24"/>
          <w:szCs w:val="24"/>
        </w:rPr>
        <w:t>Üstün</w:t>
      </w:r>
      <w:proofErr w:type="spellEnd"/>
      <w:r w:rsidRPr="00327ABE">
        <w:rPr>
          <w:sz w:val="24"/>
          <w:szCs w:val="24"/>
        </w:rPr>
        <w:t xml:space="preserve"> </w:t>
      </w:r>
      <w:proofErr w:type="spellStart"/>
      <w:r w:rsidRPr="00327ABE">
        <w:rPr>
          <w:sz w:val="24"/>
          <w:szCs w:val="24"/>
        </w:rPr>
        <w:t>Başarı</w:t>
      </w:r>
      <w:proofErr w:type="spellEnd"/>
      <w:r w:rsidRPr="00327ABE">
        <w:rPr>
          <w:sz w:val="24"/>
          <w:szCs w:val="24"/>
        </w:rPr>
        <w:t xml:space="preserve"> Sınıfı) gibi projeler bu programların tercih edilme oranlarını </w:t>
      </w:r>
      <w:proofErr w:type="spellStart"/>
      <w:r w:rsidRPr="00327ABE">
        <w:rPr>
          <w:sz w:val="24"/>
          <w:szCs w:val="24"/>
        </w:rPr>
        <w:t>arttırmıştır</w:t>
      </w:r>
      <w:proofErr w:type="spellEnd"/>
      <w:r w:rsidRPr="00327ABE">
        <w:rPr>
          <w:sz w:val="24"/>
          <w:szCs w:val="24"/>
        </w:rPr>
        <w:t xml:space="preserve">. </w:t>
      </w:r>
      <w:r>
        <w:rPr>
          <w:sz w:val="24"/>
          <w:szCs w:val="24"/>
        </w:rPr>
        <w:t xml:space="preserve">Bu Yeni </w:t>
      </w:r>
      <w:proofErr w:type="spellStart"/>
      <w:r w:rsidRPr="00327ABE">
        <w:rPr>
          <w:sz w:val="24"/>
          <w:szCs w:val="24"/>
        </w:rPr>
        <w:t>YÖK’ün</w:t>
      </w:r>
      <w:proofErr w:type="spellEnd"/>
      <w:r w:rsidRPr="00327ABE">
        <w:rPr>
          <w:sz w:val="24"/>
          <w:szCs w:val="24"/>
        </w:rPr>
        <w:t xml:space="preserve"> </w:t>
      </w:r>
      <w:proofErr w:type="spellStart"/>
      <w:r w:rsidRPr="00327ABE">
        <w:rPr>
          <w:sz w:val="24"/>
          <w:szCs w:val="24"/>
        </w:rPr>
        <w:t>üstün</w:t>
      </w:r>
      <w:proofErr w:type="spellEnd"/>
      <w:r w:rsidRPr="00327ABE">
        <w:rPr>
          <w:sz w:val="24"/>
          <w:szCs w:val="24"/>
        </w:rPr>
        <w:t xml:space="preserve"> </w:t>
      </w:r>
      <w:proofErr w:type="spellStart"/>
      <w:r w:rsidRPr="00327ABE">
        <w:rPr>
          <w:sz w:val="24"/>
          <w:szCs w:val="24"/>
        </w:rPr>
        <w:t>değer</w:t>
      </w:r>
      <w:proofErr w:type="spellEnd"/>
      <w:r w:rsidRPr="00327ABE">
        <w:rPr>
          <w:sz w:val="24"/>
          <w:szCs w:val="24"/>
        </w:rPr>
        <w:t xml:space="preserve"> </w:t>
      </w:r>
      <w:proofErr w:type="spellStart"/>
      <w:r w:rsidRPr="00327ABE">
        <w:rPr>
          <w:sz w:val="24"/>
          <w:szCs w:val="24"/>
        </w:rPr>
        <w:t>atfettiği</w:t>
      </w:r>
      <w:proofErr w:type="spellEnd"/>
      <w:r w:rsidRPr="00327ABE">
        <w:rPr>
          <w:sz w:val="24"/>
          <w:szCs w:val="24"/>
        </w:rPr>
        <w:t xml:space="preserve"> bu programlara </w:t>
      </w:r>
      <w:r>
        <w:rPr>
          <w:sz w:val="24"/>
          <w:szCs w:val="24"/>
        </w:rPr>
        <w:t>yönelik</w:t>
      </w:r>
      <w:r w:rsidRPr="00327ABE">
        <w:rPr>
          <w:sz w:val="24"/>
          <w:szCs w:val="24"/>
        </w:rPr>
        <w:t xml:space="preserve"> </w:t>
      </w:r>
      <w:r>
        <w:rPr>
          <w:sz w:val="24"/>
          <w:szCs w:val="24"/>
        </w:rPr>
        <w:t xml:space="preserve">gösterdiği </w:t>
      </w:r>
      <w:r w:rsidRPr="00327ABE">
        <w:rPr>
          <w:sz w:val="24"/>
          <w:szCs w:val="24"/>
        </w:rPr>
        <w:t xml:space="preserve">hassas </w:t>
      </w:r>
      <w:proofErr w:type="spellStart"/>
      <w:r w:rsidRPr="00327ABE">
        <w:rPr>
          <w:sz w:val="24"/>
          <w:szCs w:val="24"/>
        </w:rPr>
        <w:t>yaklaşımının</w:t>
      </w:r>
      <w:proofErr w:type="spellEnd"/>
      <w:r w:rsidRPr="00327ABE">
        <w:rPr>
          <w:sz w:val="24"/>
          <w:szCs w:val="24"/>
        </w:rPr>
        <w:t xml:space="preserve"> </w:t>
      </w:r>
      <w:r>
        <w:rPr>
          <w:sz w:val="24"/>
          <w:szCs w:val="24"/>
        </w:rPr>
        <w:t xml:space="preserve">bir </w:t>
      </w:r>
      <w:r w:rsidRPr="00327ABE">
        <w:rPr>
          <w:sz w:val="24"/>
          <w:szCs w:val="24"/>
        </w:rPr>
        <w:t xml:space="preserve">sonucudur. Bu hassasiyet devam edecektir. </w:t>
      </w:r>
    </w:p>
    <w:p w14:paraId="40304C66" w14:textId="77777777" w:rsidR="00D9330B" w:rsidRDefault="00D9330B" w:rsidP="00D9330B">
      <w:pPr>
        <w:adjustRightInd w:val="0"/>
        <w:spacing w:line="360" w:lineRule="auto"/>
        <w:contextualSpacing/>
        <w:jc w:val="both"/>
        <w:rPr>
          <w:sz w:val="24"/>
          <w:szCs w:val="24"/>
        </w:rPr>
      </w:pPr>
      <w:r w:rsidRPr="00EA6681">
        <w:rPr>
          <w:b/>
          <w:bCs/>
          <w:sz w:val="24"/>
          <w:szCs w:val="24"/>
        </w:rPr>
        <w:t>Felsefe</w:t>
      </w:r>
      <w:r>
        <w:rPr>
          <w:sz w:val="24"/>
          <w:szCs w:val="24"/>
        </w:rPr>
        <w:t xml:space="preserve">: Bilindiği üzere YÖK Destek bursları kapsamında burs verilen programlar arasına bu yıl, genelde tüm bilimler, özelde ise sosyal bilimler için önemli olan, eleştirel ve </w:t>
      </w:r>
      <w:proofErr w:type="spellStart"/>
      <w:r>
        <w:rPr>
          <w:sz w:val="24"/>
          <w:szCs w:val="24"/>
        </w:rPr>
        <w:t>mantiki</w:t>
      </w:r>
      <w:proofErr w:type="spellEnd"/>
      <w:r>
        <w:rPr>
          <w:sz w:val="24"/>
          <w:szCs w:val="24"/>
        </w:rPr>
        <w:t xml:space="preserve"> düşünce ile tahlil kabiliyetinin gelişmesine etki eden “</w:t>
      </w:r>
      <w:r w:rsidRPr="009C5C6E">
        <w:rPr>
          <w:b/>
          <w:sz w:val="24"/>
          <w:szCs w:val="24"/>
        </w:rPr>
        <w:t>Felsefe</w:t>
      </w:r>
      <w:r>
        <w:rPr>
          <w:b/>
          <w:sz w:val="24"/>
          <w:szCs w:val="24"/>
        </w:rPr>
        <w:t>”</w:t>
      </w:r>
      <w:r w:rsidRPr="009C5C6E">
        <w:rPr>
          <w:b/>
          <w:sz w:val="24"/>
          <w:szCs w:val="24"/>
        </w:rPr>
        <w:t xml:space="preserve"> </w:t>
      </w:r>
      <w:r>
        <w:rPr>
          <w:sz w:val="24"/>
          <w:szCs w:val="24"/>
        </w:rPr>
        <w:t xml:space="preserve">programı da dahil edilmiş ve bu yaklaşım kamuoyu tarafından takdir görmüştür.  </w:t>
      </w:r>
    </w:p>
    <w:p w14:paraId="17EFCB1C" w14:textId="77777777" w:rsidR="00D9330B" w:rsidRDefault="00D9330B" w:rsidP="00D9330B">
      <w:pPr>
        <w:adjustRightInd w:val="0"/>
        <w:spacing w:line="360" w:lineRule="auto"/>
        <w:contextualSpacing/>
        <w:jc w:val="both"/>
        <w:rPr>
          <w:b/>
          <w:sz w:val="24"/>
          <w:szCs w:val="24"/>
        </w:rPr>
      </w:pPr>
      <w:r w:rsidRPr="00EA6681">
        <w:rPr>
          <w:b/>
          <w:bCs/>
          <w:sz w:val="24"/>
          <w:szCs w:val="24"/>
        </w:rPr>
        <w:t xml:space="preserve">Felsefe </w:t>
      </w:r>
      <w:r w:rsidRPr="00E16C2C">
        <w:rPr>
          <w:sz w:val="24"/>
          <w:szCs w:val="24"/>
        </w:rPr>
        <w:t>programında</w:t>
      </w:r>
      <w:r w:rsidRPr="00EA6681">
        <w:rPr>
          <w:b/>
          <w:bCs/>
          <w:sz w:val="24"/>
          <w:szCs w:val="24"/>
        </w:rPr>
        <w:t xml:space="preserve"> 2019 </w:t>
      </w:r>
      <w:r w:rsidRPr="00EA6681">
        <w:rPr>
          <w:sz w:val="24"/>
          <w:szCs w:val="24"/>
        </w:rPr>
        <w:t>yılında toplam</w:t>
      </w:r>
      <w:r w:rsidRPr="00EA6681">
        <w:rPr>
          <w:b/>
          <w:bCs/>
          <w:sz w:val="24"/>
          <w:szCs w:val="24"/>
        </w:rPr>
        <w:t xml:space="preserve"> yerleşen </w:t>
      </w:r>
      <w:r>
        <w:rPr>
          <w:sz w:val="24"/>
          <w:szCs w:val="24"/>
        </w:rPr>
        <w:t xml:space="preserve">sayısı </w:t>
      </w:r>
      <w:r w:rsidRPr="00EA6681">
        <w:rPr>
          <w:b/>
          <w:bCs/>
          <w:sz w:val="24"/>
          <w:szCs w:val="24"/>
        </w:rPr>
        <w:t>2.</w:t>
      </w:r>
      <w:r>
        <w:rPr>
          <w:b/>
          <w:bCs/>
          <w:sz w:val="24"/>
          <w:szCs w:val="24"/>
        </w:rPr>
        <w:t xml:space="preserve">248, boş kontenjan 501 </w:t>
      </w:r>
      <w:r w:rsidRPr="00E16C2C">
        <w:rPr>
          <w:sz w:val="24"/>
          <w:szCs w:val="24"/>
        </w:rPr>
        <w:t>idi</w:t>
      </w:r>
      <w:r w:rsidRPr="00EA6681">
        <w:rPr>
          <w:b/>
          <w:bCs/>
          <w:sz w:val="24"/>
          <w:szCs w:val="24"/>
        </w:rPr>
        <w:t xml:space="preserve">. </w:t>
      </w:r>
      <w:r>
        <w:rPr>
          <w:b/>
          <w:bCs/>
          <w:sz w:val="24"/>
          <w:szCs w:val="24"/>
        </w:rPr>
        <w:t>Bu yıl ise</w:t>
      </w:r>
      <w:r w:rsidRPr="00EA6681">
        <w:rPr>
          <w:sz w:val="24"/>
          <w:szCs w:val="24"/>
        </w:rPr>
        <w:t xml:space="preserve"> toplam</w:t>
      </w:r>
      <w:r w:rsidRPr="00EA6681">
        <w:rPr>
          <w:b/>
          <w:bCs/>
          <w:sz w:val="24"/>
          <w:szCs w:val="24"/>
        </w:rPr>
        <w:t xml:space="preserve"> </w:t>
      </w:r>
      <w:r w:rsidRPr="00CA402F">
        <w:rPr>
          <w:bCs/>
          <w:sz w:val="24"/>
          <w:szCs w:val="24"/>
        </w:rPr>
        <w:t>yerleşen sayısı</w:t>
      </w:r>
      <w:r>
        <w:rPr>
          <w:b/>
          <w:bCs/>
          <w:sz w:val="24"/>
          <w:szCs w:val="24"/>
        </w:rPr>
        <w:t xml:space="preserve"> </w:t>
      </w:r>
      <w:r w:rsidRPr="00EA6681">
        <w:rPr>
          <w:b/>
          <w:bCs/>
          <w:sz w:val="24"/>
          <w:szCs w:val="24"/>
        </w:rPr>
        <w:t xml:space="preserve">2.594, boş kalan kontenjan 28’dir. </w:t>
      </w:r>
      <w:r>
        <w:rPr>
          <w:b/>
          <w:bCs/>
          <w:sz w:val="24"/>
          <w:szCs w:val="24"/>
        </w:rPr>
        <w:t xml:space="preserve">2019 </w:t>
      </w:r>
      <w:r w:rsidRPr="00E16C2C">
        <w:rPr>
          <w:sz w:val="24"/>
          <w:szCs w:val="24"/>
        </w:rPr>
        <w:t>yılı doluluk</w:t>
      </w:r>
      <w:r>
        <w:rPr>
          <w:b/>
          <w:bCs/>
          <w:sz w:val="24"/>
          <w:szCs w:val="24"/>
        </w:rPr>
        <w:t xml:space="preserve"> </w:t>
      </w:r>
      <w:r w:rsidRPr="00E16C2C">
        <w:rPr>
          <w:sz w:val="24"/>
          <w:szCs w:val="24"/>
        </w:rPr>
        <w:t xml:space="preserve">oranı </w:t>
      </w:r>
      <w:r>
        <w:rPr>
          <w:b/>
          <w:bCs/>
          <w:sz w:val="24"/>
          <w:szCs w:val="24"/>
        </w:rPr>
        <w:t xml:space="preserve">%81,69 </w:t>
      </w:r>
      <w:r w:rsidRPr="00E16C2C">
        <w:rPr>
          <w:sz w:val="24"/>
          <w:szCs w:val="24"/>
        </w:rPr>
        <w:t>iken bu yıl</w:t>
      </w:r>
      <w:r w:rsidRPr="00EA6681">
        <w:rPr>
          <w:b/>
          <w:bCs/>
          <w:sz w:val="24"/>
          <w:szCs w:val="24"/>
        </w:rPr>
        <w:t xml:space="preserve"> %98,93 </w:t>
      </w:r>
      <w:r w:rsidRPr="00E16C2C">
        <w:rPr>
          <w:sz w:val="24"/>
          <w:szCs w:val="24"/>
        </w:rPr>
        <w:t>olarak gerçekleşmiştir.</w:t>
      </w:r>
      <w:r>
        <w:rPr>
          <w:sz w:val="24"/>
          <w:szCs w:val="24"/>
        </w:rPr>
        <w:t xml:space="preserve"> Geçen yıla göre düşen kontenjanlara rağmen </w:t>
      </w:r>
      <w:r w:rsidRPr="00D74BF0">
        <w:rPr>
          <w:b/>
          <w:bCs/>
          <w:sz w:val="24"/>
          <w:szCs w:val="24"/>
        </w:rPr>
        <w:t xml:space="preserve">yerleşen aday sayılarının artması </w:t>
      </w:r>
      <w:r>
        <w:rPr>
          <w:sz w:val="24"/>
          <w:szCs w:val="24"/>
        </w:rPr>
        <w:t xml:space="preserve">ve boş kontenjanların ciddi oranda azalması YÖK’ün başlattığı girişimin Felsefe alanında bir farkındalığın oluştuğunu da göstermektedir. </w:t>
      </w:r>
      <w:r w:rsidRPr="00C036CD">
        <w:rPr>
          <w:b/>
          <w:sz w:val="24"/>
          <w:szCs w:val="24"/>
        </w:rPr>
        <w:t xml:space="preserve">Sadece bilgiye sahip insanlar değil dünya ve hayatı yorumlayabilme kabiliyetine sahip insan gücünün yetiştirilmesi bakımından bu sonuç sevindiricidir. </w:t>
      </w:r>
      <w:r w:rsidRPr="00E16C2C">
        <w:rPr>
          <w:bCs/>
          <w:sz w:val="24"/>
          <w:szCs w:val="24"/>
        </w:rPr>
        <w:t>Yükseköğretim Kurulunun bu alanda alacağı tedbir ve vereceği destekler ilerleyen yıllarda da devam edecektir.</w:t>
      </w:r>
      <w:r>
        <w:rPr>
          <w:b/>
          <w:sz w:val="24"/>
          <w:szCs w:val="24"/>
        </w:rPr>
        <w:t xml:space="preserve"> </w:t>
      </w:r>
      <w:r w:rsidRPr="00C036CD">
        <w:rPr>
          <w:b/>
          <w:sz w:val="24"/>
          <w:szCs w:val="24"/>
        </w:rPr>
        <w:t xml:space="preserve"> </w:t>
      </w:r>
    </w:p>
    <w:p w14:paraId="654FB3C8" w14:textId="77777777" w:rsidR="00D9330B" w:rsidRPr="004561C6" w:rsidRDefault="00D9330B" w:rsidP="00D9330B">
      <w:pPr>
        <w:pStyle w:val="ListeParagraf"/>
        <w:numPr>
          <w:ilvl w:val="0"/>
          <w:numId w:val="3"/>
        </w:numPr>
        <w:adjustRightInd w:val="0"/>
        <w:spacing w:line="360" w:lineRule="auto"/>
        <w:ind w:left="0"/>
        <w:contextualSpacing/>
        <w:jc w:val="both"/>
        <w:rPr>
          <w:sz w:val="24"/>
          <w:szCs w:val="24"/>
        </w:rPr>
      </w:pPr>
      <w:r w:rsidRPr="00F13E8A">
        <w:rPr>
          <w:sz w:val="24"/>
          <w:szCs w:val="24"/>
        </w:rPr>
        <w:t>YÖK Destek bursları kapsamında desteklenen çok sayıda programdan biri de Su Ürünleri Mühendisliği’dir</w:t>
      </w:r>
      <w:r>
        <w:rPr>
          <w:sz w:val="24"/>
          <w:szCs w:val="24"/>
        </w:rPr>
        <w:t xml:space="preserve">. </w:t>
      </w:r>
      <w:r w:rsidRPr="00EA6681">
        <w:rPr>
          <w:b/>
          <w:bCs/>
          <w:sz w:val="24"/>
          <w:szCs w:val="24"/>
        </w:rPr>
        <w:t>2019</w:t>
      </w:r>
      <w:r>
        <w:rPr>
          <w:sz w:val="24"/>
          <w:szCs w:val="24"/>
        </w:rPr>
        <w:t xml:space="preserve"> yılında toplam </w:t>
      </w:r>
      <w:r w:rsidRPr="00EA6681">
        <w:rPr>
          <w:b/>
          <w:bCs/>
          <w:sz w:val="24"/>
          <w:szCs w:val="24"/>
        </w:rPr>
        <w:t>kontenjanı 347</w:t>
      </w:r>
      <w:r>
        <w:rPr>
          <w:sz w:val="24"/>
          <w:szCs w:val="24"/>
        </w:rPr>
        <w:t xml:space="preserve"> olan Su Ürünleri Mühendisliği programına yerleşen aday sayısı </w:t>
      </w:r>
      <w:r w:rsidRPr="00EA6681">
        <w:rPr>
          <w:b/>
          <w:bCs/>
          <w:sz w:val="24"/>
          <w:szCs w:val="24"/>
        </w:rPr>
        <w:t>201</w:t>
      </w:r>
      <w:r>
        <w:rPr>
          <w:sz w:val="24"/>
          <w:szCs w:val="24"/>
        </w:rPr>
        <w:t xml:space="preserve">, boş kontenjan sayısı ise </w:t>
      </w:r>
      <w:r w:rsidRPr="00EA6681">
        <w:rPr>
          <w:b/>
          <w:bCs/>
          <w:sz w:val="24"/>
          <w:szCs w:val="24"/>
        </w:rPr>
        <w:t>146</w:t>
      </w:r>
      <w:r>
        <w:rPr>
          <w:sz w:val="24"/>
          <w:szCs w:val="24"/>
        </w:rPr>
        <w:t xml:space="preserve"> </w:t>
      </w:r>
      <w:proofErr w:type="gramStart"/>
      <w:r>
        <w:rPr>
          <w:sz w:val="24"/>
          <w:szCs w:val="24"/>
        </w:rPr>
        <w:t>idi..</w:t>
      </w:r>
      <w:proofErr w:type="gramEnd"/>
      <w:r>
        <w:rPr>
          <w:sz w:val="24"/>
          <w:szCs w:val="24"/>
        </w:rPr>
        <w:t xml:space="preserve"> </w:t>
      </w:r>
      <w:r w:rsidRPr="00EA6681">
        <w:rPr>
          <w:b/>
          <w:bCs/>
          <w:sz w:val="24"/>
          <w:szCs w:val="24"/>
        </w:rPr>
        <w:t>2020</w:t>
      </w:r>
      <w:r>
        <w:rPr>
          <w:sz w:val="24"/>
          <w:szCs w:val="24"/>
        </w:rPr>
        <w:t xml:space="preserve"> yılı için ise toplam </w:t>
      </w:r>
      <w:r w:rsidRPr="00EA6681">
        <w:rPr>
          <w:b/>
          <w:bCs/>
          <w:sz w:val="24"/>
          <w:szCs w:val="24"/>
        </w:rPr>
        <w:t>kontenjan 363</w:t>
      </w:r>
      <w:r>
        <w:rPr>
          <w:sz w:val="24"/>
          <w:szCs w:val="24"/>
        </w:rPr>
        <w:t xml:space="preserve">, yerleşen aday sayısı </w:t>
      </w:r>
      <w:r w:rsidRPr="00EA6681">
        <w:rPr>
          <w:b/>
          <w:bCs/>
          <w:sz w:val="24"/>
          <w:szCs w:val="24"/>
        </w:rPr>
        <w:t>358</w:t>
      </w:r>
      <w:r>
        <w:rPr>
          <w:sz w:val="24"/>
          <w:szCs w:val="24"/>
        </w:rPr>
        <w:t xml:space="preserve">, boş kontenjan sayısı ise </w:t>
      </w:r>
      <w:r w:rsidRPr="00EA6681">
        <w:rPr>
          <w:b/>
          <w:bCs/>
          <w:sz w:val="24"/>
          <w:szCs w:val="24"/>
        </w:rPr>
        <w:t>5</w:t>
      </w:r>
      <w:r>
        <w:rPr>
          <w:sz w:val="24"/>
          <w:szCs w:val="24"/>
        </w:rPr>
        <w:t xml:space="preserve">’tir. Artan kontenjana rağmen yerleşen aday sayılarında da artış yaşanmış, doluluk oranı yüzde yüze yaklaşmıştır. </w:t>
      </w:r>
      <w:r>
        <w:rPr>
          <w:color w:val="212121"/>
          <w:sz w:val="24"/>
          <w:szCs w:val="24"/>
          <w:shd w:val="clear" w:color="auto" w:fill="FFFFFF"/>
          <w:lang w:bidi="ar-SA"/>
        </w:rPr>
        <w:t xml:space="preserve">Yükseköğretim Kurulu ülkemizin öncelikli ve stratejik alanları olarak gördüğü ziraat ve su ürünlerine destek vermeye ve farkındalık oluşturmaya devam edecektir. </w:t>
      </w:r>
    </w:p>
    <w:p w14:paraId="3DB0EBDA" w14:textId="77777777" w:rsidR="00D9330B" w:rsidRDefault="00D9330B" w:rsidP="00D9330B">
      <w:pPr>
        <w:pStyle w:val="ListeParagraf"/>
        <w:adjustRightInd w:val="0"/>
        <w:spacing w:line="360" w:lineRule="auto"/>
        <w:ind w:left="0" w:firstLine="0"/>
        <w:contextualSpacing/>
        <w:jc w:val="both"/>
        <w:rPr>
          <w:sz w:val="24"/>
          <w:szCs w:val="24"/>
        </w:rPr>
      </w:pPr>
    </w:p>
    <w:p w14:paraId="4754EF20" w14:textId="77777777" w:rsidR="00D9330B" w:rsidRPr="008571CA" w:rsidRDefault="00D9330B" w:rsidP="00D9330B">
      <w:pPr>
        <w:pStyle w:val="ListeParagraf"/>
        <w:adjustRightInd w:val="0"/>
        <w:spacing w:line="360" w:lineRule="auto"/>
        <w:ind w:left="0" w:firstLine="0"/>
        <w:contextualSpacing/>
        <w:rPr>
          <w:b/>
          <w:bCs/>
          <w:sz w:val="24"/>
          <w:szCs w:val="24"/>
        </w:rPr>
      </w:pPr>
      <w:r w:rsidRPr="008571CA">
        <w:rPr>
          <w:b/>
          <w:bCs/>
          <w:sz w:val="24"/>
          <w:szCs w:val="24"/>
        </w:rPr>
        <w:t xml:space="preserve">10. Sonuç </w:t>
      </w:r>
    </w:p>
    <w:p w14:paraId="20666BCE" w14:textId="77777777" w:rsidR="00D9330B" w:rsidRPr="005C6660" w:rsidRDefault="00D9330B" w:rsidP="00D9330B">
      <w:pPr>
        <w:pStyle w:val="GvdeMetni"/>
        <w:spacing w:before="1" w:line="360" w:lineRule="auto"/>
        <w:jc w:val="both"/>
        <w:rPr>
          <w:bCs/>
        </w:rPr>
      </w:pPr>
      <w:r>
        <w:rPr>
          <w:bCs/>
        </w:rPr>
        <w:t xml:space="preserve">Küresel salgın döneminde </w:t>
      </w:r>
      <w:r w:rsidRPr="005C6660">
        <w:rPr>
          <w:bCs/>
        </w:rPr>
        <w:t>yükseköğretim sistemleri çok güçlü ülkeler</w:t>
      </w:r>
      <w:r>
        <w:rPr>
          <w:bCs/>
        </w:rPr>
        <w:t xml:space="preserve"> </w:t>
      </w:r>
      <w:r w:rsidRPr="005C6660">
        <w:rPr>
          <w:bCs/>
        </w:rPr>
        <w:t xml:space="preserve">de dahil </w:t>
      </w:r>
      <w:r>
        <w:rPr>
          <w:bCs/>
        </w:rPr>
        <w:t xml:space="preserve">hemen </w:t>
      </w:r>
      <w:r w:rsidRPr="005C6660">
        <w:rPr>
          <w:bCs/>
        </w:rPr>
        <w:t xml:space="preserve">her sistem çalkantı yaşarken ülkemizde sorunsuz olarak gerçekleştirilen </w:t>
      </w:r>
      <w:r>
        <w:rPr>
          <w:bCs/>
        </w:rPr>
        <w:t xml:space="preserve">2020 </w:t>
      </w:r>
      <w:proofErr w:type="spellStart"/>
      <w:r w:rsidRPr="005C6660">
        <w:rPr>
          <w:bCs/>
        </w:rPr>
        <w:t>YKS</w:t>
      </w:r>
      <w:r>
        <w:rPr>
          <w:bCs/>
        </w:rPr>
        <w:t>’nin</w:t>
      </w:r>
      <w:proofErr w:type="spellEnd"/>
      <w:r>
        <w:rPr>
          <w:bCs/>
        </w:rPr>
        <w:t xml:space="preserve"> verilerinin, istikrar içinde bir süreç ile gelişme ve iyileşmeyi göstermesi,</w:t>
      </w:r>
      <w:r w:rsidRPr="005C6660">
        <w:rPr>
          <w:bCs/>
        </w:rPr>
        <w:t xml:space="preserve"> </w:t>
      </w:r>
      <w:r>
        <w:rPr>
          <w:bCs/>
        </w:rPr>
        <w:t xml:space="preserve">YÖK’ün isabetli kararlarına, </w:t>
      </w:r>
      <w:r w:rsidRPr="005C6660">
        <w:rPr>
          <w:bCs/>
        </w:rPr>
        <w:t>yükseköğretim sistemimizin sağlamlığı</w:t>
      </w:r>
      <w:r>
        <w:rPr>
          <w:bCs/>
        </w:rPr>
        <w:t>na</w:t>
      </w:r>
      <w:r w:rsidRPr="005C6660">
        <w:rPr>
          <w:bCs/>
        </w:rPr>
        <w:t xml:space="preserve"> ve üniversitelerimize duyulan güvenin </w:t>
      </w:r>
      <w:r>
        <w:rPr>
          <w:bCs/>
        </w:rPr>
        <w:t xml:space="preserve">önemli bir </w:t>
      </w:r>
      <w:r w:rsidRPr="005C6660">
        <w:rPr>
          <w:bCs/>
        </w:rPr>
        <w:t xml:space="preserve">göstergesidir. </w:t>
      </w:r>
      <w:r>
        <w:rPr>
          <w:bCs/>
        </w:rPr>
        <w:t xml:space="preserve">Bu sene olağanüstü şartlarda sınava giren öğrencilerimiz üzerindeki gerginliği azaltmaya yönelik olarak sınav süresini uzatmamızın sonuçlarının olumlu olduğunu düşünmekteyiz. </w:t>
      </w:r>
      <w:r w:rsidRPr="003153FC">
        <w:rPr>
          <w:bCs/>
        </w:rPr>
        <w:t>Ayrıca AYT ile puan havuzlarını genişletmiştir. Bu her iki düzenleme sistemsel bir değişiklik olmay</w:t>
      </w:r>
      <w:r>
        <w:rPr>
          <w:bCs/>
        </w:rPr>
        <w:t>ıp (kamuoyuna beyan edildiği üzere) elbet sadece bu sene sınava giren öğrenciler için geçerlidir.</w:t>
      </w:r>
    </w:p>
    <w:p w14:paraId="144274C3" w14:textId="77777777" w:rsidR="00D9330B" w:rsidRPr="004561C6" w:rsidRDefault="00D9330B" w:rsidP="00D9330B">
      <w:pPr>
        <w:pStyle w:val="ListeParagraf"/>
        <w:adjustRightInd w:val="0"/>
        <w:spacing w:line="360" w:lineRule="auto"/>
        <w:ind w:left="0" w:firstLine="0"/>
        <w:contextualSpacing/>
        <w:rPr>
          <w:b/>
          <w:bCs/>
          <w:sz w:val="24"/>
          <w:szCs w:val="24"/>
        </w:rPr>
      </w:pPr>
    </w:p>
    <w:p w14:paraId="548615C9" w14:textId="77777777" w:rsidR="00D9330B" w:rsidRPr="00825A66" w:rsidRDefault="00D9330B" w:rsidP="00D9330B">
      <w:pPr>
        <w:pStyle w:val="ListeParagraf"/>
        <w:adjustRightInd w:val="0"/>
        <w:spacing w:line="360" w:lineRule="auto"/>
        <w:ind w:left="0" w:firstLine="0"/>
        <w:contextualSpacing/>
        <w:jc w:val="both"/>
        <w:rPr>
          <w:rFonts w:asciiTheme="majorBidi" w:hAnsiTheme="majorBidi" w:cstheme="majorBidi"/>
          <w:sz w:val="24"/>
          <w:szCs w:val="24"/>
        </w:rPr>
      </w:pPr>
      <w:r w:rsidRPr="00825A66">
        <w:rPr>
          <w:rFonts w:asciiTheme="majorBidi" w:hAnsiTheme="majorBidi" w:cstheme="majorBidi"/>
          <w:sz w:val="24"/>
          <w:szCs w:val="24"/>
        </w:rPr>
        <w:lastRenderedPageBreak/>
        <w:t xml:space="preserve">Bu vesile ile </w:t>
      </w:r>
      <w:proofErr w:type="spellStart"/>
      <w:r w:rsidRPr="00825A66">
        <w:rPr>
          <w:rFonts w:asciiTheme="majorBidi" w:hAnsiTheme="majorBidi" w:cstheme="majorBidi"/>
          <w:sz w:val="24"/>
          <w:szCs w:val="24"/>
        </w:rPr>
        <w:t>şu</w:t>
      </w:r>
      <w:proofErr w:type="spellEnd"/>
      <w:r w:rsidRPr="00825A66">
        <w:rPr>
          <w:rFonts w:asciiTheme="majorBidi" w:hAnsiTheme="majorBidi" w:cstheme="majorBidi"/>
          <w:sz w:val="24"/>
          <w:szCs w:val="24"/>
        </w:rPr>
        <w:t xml:space="preserve"> husus</w:t>
      </w:r>
      <w:r>
        <w:rPr>
          <w:rFonts w:asciiTheme="majorBidi" w:hAnsiTheme="majorBidi" w:cstheme="majorBidi"/>
          <w:sz w:val="24"/>
          <w:szCs w:val="24"/>
        </w:rPr>
        <w:t>u</w:t>
      </w:r>
      <w:r w:rsidRPr="00825A66">
        <w:rPr>
          <w:rFonts w:asciiTheme="majorBidi" w:hAnsiTheme="majorBidi" w:cstheme="majorBidi"/>
          <w:sz w:val="24"/>
          <w:szCs w:val="24"/>
        </w:rPr>
        <w:t xml:space="preserve"> da ifade</w:t>
      </w:r>
      <w:r>
        <w:rPr>
          <w:rFonts w:asciiTheme="majorBidi" w:hAnsiTheme="majorBidi" w:cstheme="majorBidi"/>
          <w:sz w:val="24"/>
          <w:szCs w:val="24"/>
        </w:rPr>
        <w:t xml:space="preserve"> etmek isteriz</w:t>
      </w:r>
      <w:r w:rsidRPr="00825A66">
        <w:rPr>
          <w:rFonts w:asciiTheme="majorBidi" w:hAnsiTheme="majorBidi" w:cstheme="majorBidi"/>
          <w:sz w:val="24"/>
          <w:szCs w:val="24"/>
        </w:rPr>
        <w:t xml:space="preserve">: Ülkemizde kimi zaman basına aksettiği şekilde </w:t>
      </w:r>
      <w:proofErr w:type="spellStart"/>
      <w:r w:rsidRPr="00825A66">
        <w:rPr>
          <w:rFonts w:asciiTheme="majorBidi" w:hAnsiTheme="majorBidi" w:cstheme="majorBidi"/>
          <w:b/>
          <w:bCs/>
          <w:sz w:val="24"/>
          <w:szCs w:val="24"/>
        </w:rPr>
        <w:t>Üniversiteye</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giris</w:t>
      </w:r>
      <w:proofErr w:type="spellEnd"/>
      <w:r w:rsidRPr="00825A66">
        <w:rPr>
          <w:rFonts w:asciiTheme="majorBidi" w:hAnsiTheme="majorBidi" w:cstheme="majorBidi"/>
          <w:b/>
          <w:bCs/>
          <w:sz w:val="24"/>
          <w:szCs w:val="24"/>
        </w:rPr>
        <w:t xml:space="preserve">̧ sistemi sıklıkla </w:t>
      </w:r>
      <w:proofErr w:type="spellStart"/>
      <w:r w:rsidRPr="00825A66">
        <w:rPr>
          <w:rFonts w:asciiTheme="majorBidi" w:hAnsiTheme="majorBidi" w:cstheme="majorBidi"/>
          <w:b/>
          <w:bCs/>
          <w:sz w:val="24"/>
          <w:szCs w:val="24"/>
        </w:rPr>
        <w:t>değişmemektedir</w:t>
      </w:r>
      <w:proofErr w:type="spellEnd"/>
      <w:r w:rsidRPr="00825A66">
        <w:rPr>
          <w:rFonts w:asciiTheme="majorBidi" w:hAnsiTheme="majorBidi" w:cstheme="majorBidi"/>
          <w:sz w:val="24"/>
          <w:szCs w:val="24"/>
        </w:rPr>
        <w:t>. “</w:t>
      </w:r>
      <w:r w:rsidRPr="00825A66">
        <w:rPr>
          <w:rFonts w:asciiTheme="majorBidi" w:hAnsiTheme="majorBidi" w:cstheme="majorBidi"/>
          <w:b/>
          <w:bCs/>
          <w:sz w:val="24"/>
          <w:szCs w:val="24"/>
        </w:rPr>
        <w:t>On yıl sonunda</w:t>
      </w:r>
      <w:r w:rsidRPr="00825A66">
        <w:rPr>
          <w:rFonts w:asciiTheme="majorBidi" w:hAnsiTheme="majorBidi" w:cstheme="majorBidi"/>
          <w:sz w:val="24"/>
          <w:szCs w:val="24"/>
        </w:rPr>
        <w:t xml:space="preserve"> -tekrar edilegelen ve doğru </w:t>
      </w:r>
      <w:proofErr w:type="spellStart"/>
      <w:r w:rsidRPr="00825A66">
        <w:rPr>
          <w:rFonts w:asciiTheme="majorBidi" w:hAnsiTheme="majorBidi" w:cstheme="majorBidi"/>
          <w:sz w:val="24"/>
          <w:szCs w:val="24"/>
        </w:rPr>
        <w:t>imişcesine</w:t>
      </w:r>
      <w:proofErr w:type="spellEnd"/>
      <w:r w:rsidRPr="00825A66">
        <w:rPr>
          <w:rFonts w:asciiTheme="majorBidi" w:hAnsiTheme="majorBidi" w:cstheme="majorBidi"/>
          <w:sz w:val="24"/>
          <w:szCs w:val="24"/>
        </w:rPr>
        <w:t xml:space="preserve"> sunulan </w:t>
      </w:r>
      <w:proofErr w:type="spellStart"/>
      <w:r w:rsidRPr="00825A66">
        <w:rPr>
          <w:rFonts w:asciiTheme="majorBidi" w:hAnsiTheme="majorBidi" w:cstheme="majorBidi"/>
          <w:sz w:val="24"/>
          <w:szCs w:val="24"/>
        </w:rPr>
        <w:t>yanlışın</w:t>
      </w:r>
      <w:proofErr w:type="spellEnd"/>
      <w:r w:rsidRPr="00825A66">
        <w:rPr>
          <w:rFonts w:asciiTheme="majorBidi" w:hAnsiTheme="majorBidi" w:cstheme="majorBidi"/>
          <w:sz w:val="24"/>
          <w:szCs w:val="24"/>
        </w:rPr>
        <w:t xml:space="preserve"> aksine- </w:t>
      </w:r>
      <w:r w:rsidRPr="00825A66">
        <w:rPr>
          <w:rFonts w:asciiTheme="majorBidi" w:hAnsiTheme="majorBidi" w:cstheme="majorBidi"/>
          <w:b/>
          <w:bCs/>
          <w:sz w:val="24"/>
          <w:szCs w:val="24"/>
        </w:rPr>
        <w:t>bir defa</w:t>
      </w:r>
      <w:r>
        <w:rPr>
          <w:rFonts w:asciiTheme="majorBidi" w:hAnsiTheme="majorBidi" w:cstheme="majorBidi"/>
          <w:sz w:val="24"/>
          <w:szCs w:val="24"/>
        </w:rPr>
        <w:t xml:space="preserve"> </w:t>
      </w:r>
      <w:proofErr w:type="spellStart"/>
      <w:r>
        <w:rPr>
          <w:rFonts w:asciiTheme="majorBidi" w:hAnsiTheme="majorBidi" w:cstheme="majorBidi"/>
          <w:sz w:val="24"/>
          <w:szCs w:val="24"/>
        </w:rPr>
        <w:t>değişmiştir</w:t>
      </w:r>
      <w:proofErr w:type="spellEnd"/>
      <w:r>
        <w:rPr>
          <w:rFonts w:asciiTheme="majorBidi" w:hAnsiTheme="majorBidi" w:cstheme="majorBidi"/>
          <w:sz w:val="24"/>
          <w:szCs w:val="24"/>
        </w:rPr>
        <w:t>. Üç yıl önceki</w:t>
      </w:r>
      <w:r w:rsidRPr="00825A66">
        <w:rPr>
          <w:rFonts w:asciiTheme="majorBidi" w:hAnsiTheme="majorBidi" w:cstheme="majorBidi"/>
          <w:sz w:val="24"/>
          <w:szCs w:val="24"/>
        </w:rPr>
        <w:t xml:space="preserve"> bu </w:t>
      </w:r>
      <w:proofErr w:type="spellStart"/>
      <w:r w:rsidRPr="00825A66">
        <w:rPr>
          <w:rFonts w:asciiTheme="majorBidi" w:hAnsiTheme="majorBidi" w:cstheme="majorBidi"/>
          <w:sz w:val="24"/>
          <w:szCs w:val="24"/>
        </w:rPr>
        <w:t>değişiklik</w:t>
      </w:r>
      <w:proofErr w:type="spellEnd"/>
      <w:r w:rsidRPr="00825A66">
        <w:rPr>
          <w:rFonts w:asciiTheme="majorBidi" w:hAnsiTheme="majorBidi" w:cstheme="majorBidi"/>
          <w:sz w:val="24"/>
          <w:szCs w:val="24"/>
        </w:rPr>
        <w:t xml:space="preserve"> de </w:t>
      </w:r>
      <w:proofErr w:type="spellStart"/>
      <w:r w:rsidRPr="00825A66">
        <w:rPr>
          <w:rFonts w:asciiTheme="majorBidi" w:hAnsiTheme="majorBidi" w:cstheme="majorBidi"/>
          <w:sz w:val="24"/>
          <w:szCs w:val="24"/>
        </w:rPr>
        <w:t>tekamül</w:t>
      </w:r>
      <w:proofErr w:type="spellEnd"/>
      <w:r w:rsidRPr="00825A66">
        <w:rPr>
          <w:rFonts w:asciiTheme="majorBidi" w:hAnsiTheme="majorBidi" w:cstheme="majorBidi"/>
          <w:sz w:val="24"/>
          <w:szCs w:val="24"/>
        </w:rPr>
        <w:t xml:space="preserve"> yolunda </w:t>
      </w:r>
      <w:proofErr w:type="spellStart"/>
      <w:r w:rsidRPr="00825A66">
        <w:rPr>
          <w:rFonts w:asciiTheme="majorBidi" w:hAnsiTheme="majorBidi" w:cstheme="majorBidi"/>
          <w:sz w:val="24"/>
          <w:szCs w:val="24"/>
        </w:rPr>
        <w:t>olmuştur</w:t>
      </w:r>
      <w:proofErr w:type="spellEnd"/>
      <w:r w:rsidRPr="00825A66">
        <w:rPr>
          <w:rFonts w:asciiTheme="majorBidi" w:hAnsiTheme="majorBidi" w:cstheme="majorBidi"/>
          <w:sz w:val="24"/>
          <w:szCs w:val="24"/>
        </w:rPr>
        <w:t xml:space="preserve">. </w:t>
      </w:r>
      <w:r>
        <w:rPr>
          <w:rFonts w:asciiTheme="majorBidi" w:hAnsiTheme="majorBidi" w:cstheme="majorBidi"/>
          <w:sz w:val="24"/>
          <w:szCs w:val="24"/>
        </w:rPr>
        <w:t xml:space="preserve">Diğer bir ifade ile 13 yıllık bir zaman zarfında bir defa sistem değişikliği olmuştur. </w:t>
      </w:r>
      <w:r w:rsidRPr="00825A66">
        <w:rPr>
          <w:rFonts w:asciiTheme="majorBidi" w:hAnsiTheme="majorBidi" w:cstheme="majorBidi"/>
          <w:sz w:val="24"/>
          <w:szCs w:val="24"/>
        </w:rPr>
        <w:t>Sınav sisteminin sık sık değiştiği şeklindeki gerçek dışı ifadelerin kimi sahiplerinin eğitim öğretim</w:t>
      </w:r>
      <w:r>
        <w:rPr>
          <w:rFonts w:asciiTheme="majorBidi" w:hAnsiTheme="majorBidi" w:cstheme="majorBidi"/>
          <w:sz w:val="24"/>
          <w:szCs w:val="24"/>
        </w:rPr>
        <w:t xml:space="preserve"> adına konuşması ve bir kısmının </w:t>
      </w:r>
      <w:proofErr w:type="gramStart"/>
      <w:r>
        <w:rPr>
          <w:rFonts w:asciiTheme="majorBidi" w:hAnsiTheme="majorBidi" w:cstheme="majorBidi"/>
          <w:sz w:val="24"/>
          <w:szCs w:val="24"/>
        </w:rPr>
        <w:t>da</w:t>
      </w:r>
      <w:r w:rsidRPr="00825A66">
        <w:rPr>
          <w:rFonts w:asciiTheme="majorBidi" w:hAnsiTheme="majorBidi" w:cstheme="majorBidi"/>
          <w:sz w:val="24"/>
          <w:szCs w:val="24"/>
        </w:rPr>
        <w:t>,</w:t>
      </w:r>
      <w:proofErr w:type="gramEnd"/>
      <w:r w:rsidRPr="00825A66">
        <w:rPr>
          <w:rFonts w:asciiTheme="majorBidi" w:hAnsiTheme="majorBidi" w:cstheme="majorBidi"/>
          <w:sz w:val="24"/>
          <w:szCs w:val="24"/>
        </w:rPr>
        <w:t xml:space="preserve"> </w:t>
      </w:r>
      <w:r>
        <w:rPr>
          <w:rFonts w:asciiTheme="majorBidi" w:hAnsiTheme="majorBidi" w:cstheme="majorBidi"/>
          <w:sz w:val="24"/>
          <w:szCs w:val="24"/>
        </w:rPr>
        <w:t>akademik unvanlarının bulunması</w:t>
      </w:r>
      <w:r w:rsidRPr="00825A66">
        <w:rPr>
          <w:rFonts w:asciiTheme="majorBidi" w:hAnsiTheme="majorBidi" w:cstheme="majorBidi"/>
          <w:sz w:val="24"/>
          <w:szCs w:val="24"/>
        </w:rPr>
        <w:t xml:space="preserve"> </w:t>
      </w:r>
      <w:r>
        <w:rPr>
          <w:rFonts w:asciiTheme="majorBidi" w:hAnsiTheme="majorBidi" w:cstheme="majorBidi"/>
          <w:sz w:val="24"/>
          <w:szCs w:val="24"/>
        </w:rPr>
        <w:t xml:space="preserve">ayrıca </w:t>
      </w:r>
      <w:r w:rsidRPr="00825A66">
        <w:rPr>
          <w:rFonts w:asciiTheme="majorBidi" w:hAnsiTheme="majorBidi" w:cstheme="majorBidi"/>
          <w:sz w:val="24"/>
          <w:szCs w:val="24"/>
        </w:rPr>
        <w:t xml:space="preserve">düşündürücüdür. Bu sene </w:t>
      </w:r>
      <w:r w:rsidRPr="00635718">
        <w:rPr>
          <w:rFonts w:asciiTheme="majorBidi" w:hAnsiTheme="majorBidi" w:cstheme="majorBidi"/>
          <w:sz w:val="24"/>
          <w:szCs w:val="24"/>
        </w:rPr>
        <w:t>üçüncü d</w:t>
      </w:r>
      <w:r w:rsidRPr="00825A66">
        <w:rPr>
          <w:rFonts w:asciiTheme="majorBidi" w:hAnsiTheme="majorBidi" w:cstheme="majorBidi"/>
          <w:sz w:val="24"/>
          <w:szCs w:val="24"/>
        </w:rPr>
        <w:t xml:space="preserve">efa uygulanan YKS sistemi </w:t>
      </w:r>
      <w:proofErr w:type="spellStart"/>
      <w:r w:rsidRPr="00825A66">
        <w:rPr>
          <w:rFonts w:asciiTheme="majorBidi" w:hAnsiTheme="majorBidi" w:cstheme="majorBidi"/>
          <w:sz w:val="24"/>
          <w:szCs w:val="24"/>
        </w:rPr>
        <w:t>YÖK’ün</w:t>
      </w:r>
      <w:proofErr w:type="spellEnd"/>
      <w:r w:rsidRPr="00825A66">
        <w:rPr>
          <w:rFonts w:asciiTheme="majorBidi" w:hAnsiTheme="majorBidi" w:cstheme="majorBidi"/>
          <w:sz w:val="24"/>
          <w:szCs w:val="24"/>
        </w:rPr>
        <w:t xml:space="preserve"> kamuoyu </w:t>
      </w:r>
      <w:proofErr w:type="spellStart"/>
      <w:r w:rsidRPr="00825A66">
        <w:rPr>
          <w:rFonts w:asciiTheme="majorBidi" w:hAnsiTheme="majorBidi" w:cstheme="majorBidi"/>
          <w:sz w:val="24"/>
          <w:szCs w:val="24"/>
        </w:rPr>
        <w:t>önünde</w:t>
      </w:r>
      <w:proofErr w:type="spellEnd"/>
      <w:r w:rsidRPr="00825A66">
        <w:rPr>
          <w:rFonts w:asciiTheme="majorBidi" w:hAnsiTheme="majorBidi" w:cstheme="majorBidi"/>
          <w:sz w:val="24"/>
          <w:szCs w:val="24"/>
        </w:rPr>
        <w:t xml:space="preserve"> </w:t>
      </w:r>
      <w:proofErr w:type="spellStart"/>
      <w:r w:rsidRPr="00825A66">
        <w:rPr>
          <w:rFonts w:asciiTheme="majorBidi" w:hAnsiTheme="majorBidi" w:cstheme="majorBidi"/>
          <w:sz w:val="24"/>
          <w:szCs w:val="24"/>
        </w:rPr>
        <w:t>öğrencilerimize</w:t>
      </w:r>
      <w:proofErr w:type="spellEnd"/>
      <w:r w:rsidRPr="00825A66">
        <w:rPr>
          <w:rFonts w:asciiTheme="majorBidi" w:hAnsiTheme="majorBidi" w:cstheme="majorBidi"/>
          <w:sz w:val="24"/>
          <w:szCs w:val="24"/>
        </w:rPr>
        <w:t xml:space="preserve"> ve ilgili </w:t>
      </w:r>
      <w:proofErr w:type="spellStart"/>
      <w:r w:rsidRPr="00825A66">
        <w:rPr>
          <w:rFonts w:asciiTheme="majorBidi" w:hAnsiTheme="majorBidi" w:cstheme="majorBidi"/>
          <w:sz w:val="24"/>
          <w:szCs w:val="24"/>
        </w:rPr>
        <w:t>tüm</w:t>
      </w:r>
      <w:proofErr w:type="spellEnd"/>
      <w:r w:rsidRPr="00825A66">
        <w:rPr>
          <w:rFonts w:asciiTheme="majorBidi" w:hAnsiTheme="majorBidi" w:cstheme="majorBidi"/>
          <w:sz w:val="24"/>
          <w:szCs w:val="24"/>
        </w:rPr>
        <w:t xml:space="preserve"> </w:t>
      </w:r>
      <w:proofErr w:type="spellStart"/>
      <w:r w:rsidRPr="00825A66">
        <w:rPr>
          <w:rFonts w:asciiTheme="majorBidi" w:hAnsiTheme="majorBidi" w:cstheme="majorBidi"/>
          <w:sz w:val="24"/>
          <w:szCs w:val="24"/>
        </w:rPr>
        <w:t>paydaşlara</w:t>
      </w:r>
      <w:proofErr w:type="spellEnd"/>
      <w:r w:rsidRPr="00825A66">
        <w:rPr>
          <w:rFonts w:asciiTheme="majorBidi" w:hAnsiTheme="majorBidi" w:cstheme="majorBidi"/>
          <w:sz w:val="24"/>
          <w:szCs w:val="24"/>
        </w:rPr>
        <w:t xml:space="preserve"> </w:t>
      </w:r>
      <w:proofErr w:type="spellStart"/>
      <w:r w:rsidRPr="00825A66">
        <w:rPr>
          <w:rFonts w:asciiTheme="majorBidi" w:hAnsiTheme="majorBidi" w:cstheme="majorBidi"/>
          <w:sz w:val="24"/>
          <w:szCs w:val="24"/>
        </w:rPr>
        <w:t>yönelik</w:t>
      </w:r>
      <w:proofErr w:type="spellEnd"/>
      <w:r w:rsidRPr="00825A66">
        <w:rPr>
          <w:rFonts w:asciiTheme="majorBidi" w:hAnsiTheme="majorBidi" w:cstheme="majorBidi"/>
          <w:sz w:val="24"/>
          <w:szCs w:val="24"/>
        </w:rPr>
        <w:t xml:space="preserve"> </w:t>
      </w:r>
      <w:proofErr w:type="spellStart"/>
      <w:r w:rsidRPr="00825A66">
        <w:rPr>
          <w:rFonts w:asciiTheme="majorBidi" w:hAnsiTheme="majorBidi" w:cstheme="majorBidi"/>
          <w:sz w:val="24"/>
          <w:szCs w:val="24"/>
        </w:rPr>
        <w:t>verdiği</w:t>
      </w:r>
      <w:proofErr w:type="spellEnd"/>
      <w:r w:rsidRPr="00825A66">
        <w:rPr>
          <w:rFonts w:asciiTheme="majorBidi" w:hAnsiTheme="majorBidi" w:cstheme="majorBidi"/>
          <w:sz w:val="24"/>
          <w:szCs w:val="24"/>
        </w:rPr>
        <w:t xml:space="preserve"> </w:t>
      </w:r>
      <w:proofErr w:type="spellStart"/>
      <w:r w:rsidRPr="00825A66">
        <w:rPr>
          <w:rFonts w:asciiTheme="majorBidi" w:hAnsiTheme="majorBidi" w:cstheme="majorBidi"/>
          <w:sz w:val="24"/>
          <w:szCs w:val="24"/>
        </w:rPr>
        <w:t>taahhütlerine</w:t>
      </w:r>
      <w:proofErr w:type="spellEnd"/>
      <w:r w:rsidRPr="00825A66">
        <w:rPr>
          <w:rFonts w:asciiTheme="majorBidi" w:hAnsiTheme="majorBidi" w:cstheme="majorBidi"/>
          <w:sz w:val="24"/>
          <w:szCs w:val="24"/>
        </w:rPr>
        <w:t xml:space="preserve"> uygun olarak (</w:t>
      </w:r>
      <w:proofErr w:type="spellStart"/>
      <w:r w:rsidRPr="00825A66">
        <w:rPr>
          <w:rFonts w:asciiTheme="majorBidi" w:hAnsiTheme="majorBidi" w:cstheme="majorBidi"/>
          <w:sz w:val="24"/>
          <w:szCs w:val="24"/>
        </w:rPr>
        <w:t>pandemi</w:t>
      </w:r>
      <w:proofErr w:type="spellEnd"/>
      <w:r w:rsidRPr="00825A66">
        <w:rPr>
          <w:rFonts w:asciiTheme="majorBidi" w:hAnsiTheme="majorBidi" w:cstheme="majorBidi"/>
          <w:sz w:val="24"/>
          <w:szCs w:val="24"/>
        </w:rPr>
        <w:t xml:space="preserve"> döneminin en sıcak anlarında öğrenci lehine bir baraj puanında iyileştirme ve bir sınavda süreyi uzatma gibi sistemsel olmayan detaydaki </w:t>
      </w:r>
      <w:r>
        <w:rPr>
          <w:rFonts w:asciiTheme="majorBidi" w:hAnsiTheme="majorBidi" w:cstheme="majorBidi"/>
          <w:sz w:val="24"/>
          <w:szCs w:val="24"/>
        </w:rPr>
        <w:t>iki farklı uygulama</w:t>
      </w:r>
      <w:r w:rsidRPr="00825A66">
        <w:rPr>
          <w:rFonts w:asciiTheme="majorBidi" w:hAnsiTheme="majorBidi" w:cstheme="majorBidi"/>
          <w:sz w:val="24"/>
          <w:szCs w:val="24"/>
        </w:rPr>
        <w:t xml:space="preserve"> hariç) herhangi bir </w:t>
      </w:r>
      <w:proofErr w:type="spellStart"/>
      <w:r w:rsidRPr="00825A66">
        <w:rPr>
          <w:rFonts w:asciiTheme="majorBidi" w:hAnsiTheme="majorBidi" w:cstheme="majorBidi"/>
          <w:sz w:val="24"/>
          <w:szCs w:val="24"/>
        </w:rPr>
        <w:t>değişiklik</w:t>
      </w:r>
      <w:proofErr w:type="spellEnd"/>
      <w:r w:rsidRPr="00825A66">
        <w:rPr>
          <w:rFonts w:asciiTheme="majorBidi" w:hAnsiTheme="majorBidi" w:cstheme="majorBidi"/>
          <w:sz w:val="24"/>
          <w:szCs w:val="24"/>
        </w:rPr>
        <w:t xml:space="preserve"> olmaksızın </w:t>
      </w:r>
      <w:proofErr w:type="spellStart"/>
      <w:r w:rsidRPr="00825A66">
        <w:rPr>
          <w:rFonts w:asciiTheme="majorBidi" w:hAnsiTheme="majorBidi" w:cstheme="majorBidi"/>
          <w:sz w:val="24"/>
          <w:szCs w:val="24"/>
        </w:rPr>
        <w:t>gerçekleşmiştir</w:t>
      </w:r>
      <w:proofErr w:type="spellEnd"/>
      <w:r w:rsidRPr="00825A66">
        <w:rPr>
          <w:rFonts w:asciiTheme="majorBidi" w:hAnsiTheme="majorBidi" w:cstheme="majorBidi"/>
          <w:sz w:val="24"/>
          <w:szCs w:val="24"/>
        </w:rPr>
        <w:t xml:space="preserve">. </w:t>
      </w:r>
      <w:r w:rsidRPr="00825A66">
        <w:rPr>
          <w:rFonts w:asciiTheme="majorBidi" w:hAnsiTheme="majorBidi" w:cstheme="majorBidi"/>
          <w:b/>
          <w:bCs/>
          <w:sz w:val="24"/>
          <w:szCs w:val="24"/>
        </w:rPr>
        <w:t xml:space="preserve">“Sosyal adalet ve fırsat </w:t>
      </w:r>
      <w:proofErr w:type="spellStart"/>
      <w:r w:rsidRPr="00825A66">
        <w:rPr>
          <w:rFonts w:asciiTheme="majorBidi" w:hAnsiTheme="majorBidi" w:cstheme="majorBidi"/>
          <w:b/>
          <w:bCs/>
          <w:sz w:val="24"/>
          <w:szCs w:val="24"/>
        </w:rPr>
        <w:t>eşitliğini</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sağlayan</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başarıyı</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önceleyen</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sözel</w:t>
      </w:r>
      <w:proofErr w:type="spellEnd"/>
      <w:r w:rsidRPr="00825A66">
        <w:rPr>
          <w:rFonts w:asciiTheme="majorBidi" w:hAnsiTheme="majorBidi" w:cstheme="majorBidi"/>
          <w:b/>
          <w:bCs/>
          <w:sz w:val="24"/>
          <w:szCs w:val="24"/>
        </w:rPr>
        <w:t xml:space="preserve"> ve sayısal </w:t>
      </w:r>
      <w:proofErr w:type="spellStart"/>
      <w:r w:rsidRPr="00825A66">
        <w:rPr>
          <w:rFonts w:asciiTheme="majorBidi" w:hAnsiTheme="majorBidi" w:cstheme="majorBidi"/>
          <w:b/>
          <w:bCs/>
          <w:sz w:val="24"/>
          <w:szCs w:val="24"/>
        </w:rPr>
        <w:t>okuryazarlığı</w:t>
      </w:r>
      <w:proofErr w:type="spellEnd"/>
      <w:r w:rsidRPr="00825A66">
        <w:rPr>
          <w:rFonts w:asciiTheme="majorBidi" w:hAnsiTheme="majorBidi" w:cstheme="majorBidi"/>
          <w:b/>
          <w:bCs/>
          <w:sz w:val="24"/>
          <w:szCs w:val="24"/>
        </w:rPr>
        <w:t xml:space="preserve"> sorgulayan, </w:t>
      </w:r>
      <w:proofErr w:type="spellStart"/>
      <w:r w:rsidRPr="00825A66">
        <w:rPr>
          <w:rFonts w:asciiTheme="majorBidi" w:hAnsiTheme="majorBidi" w:cstheme="majorBidi"/>
          <w:b/>
          <w:bCs/>
          <w:sz w:val="24"/>
          <w:szCs w:val="24"/>
        </w:rPr>
        <w:t>ezberciliği</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değil</w:t>
      </w:r>
      <w:proofErr w:type="spellEnd"/>
      <w:r w:rsidRPr="00825A66">
        <w:rPr>
          <w:rFonts w:asciiTheme="majorBidi" w:hAnsiTheme="majorBidi" w:cstheme="majorBidi"/>
          <w:b/>
          <w:bCs/>
          <w:sz w:val="24"/>
          <w:szCs w:val="24"/>
        </w:rPr>
        <w:t xml:space="preserve"> muhakeme ve analiz kabiliyetini </w:t>
      </w:r>
      <w:proofErr w:type="spellStart"/>
      <w:r w:rsidRPr="00825A66">
        <w:rPr>
          <w:rFonts w:asciiTheme="majorBidi" w:hAnsiTheme="majorBidi" w:cstheme="majorBidi"/>
          <w:b/>
          <w:bCs/>
          <w:sz w:val="24"/>
          <w:szCs w:val="24"/>
        </w:rPr>
        <w:t>öne</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çıkaran</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Yükseköğretim</w:t>
      </w:r>
      <w:proofErr w:type="spellEnd"/>
      <w:r w:rsidRPr="00825A66">
        <w:rPr>
          <w:rFonts w:asciiTheme="majorBidi" w:hAnsiTheme="majorBidi" w:cstheme="majorBidi"/>
          <w:b/>
          <w:bCs/>
          <w:sz w:val="24"/>
          <w:szCs w:val="24"/>
        </w:rPr>
        <w:t xml:space="preserve"> Kurumları Sınavı’nın kurgusundaki </w:t>
      </w:r>
      <w:proofErr w:type="spellStart"/>
      <w:r w:rsidRPr="00825A66">
        <w:rPr>
          <w:rFonts w:asciiTheme="majorBidi" w:hAnsiTheme="majorBidi" w:cstheme="majorBidi"/>
          <w:b/>
          <w:bCs/>
          <w:sz w:val="24"/>
          <w:szCs w:val="24"/>
        </w:rPr>
        <w:t>sağlamlık</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popülizmden</w:t>
      </w:r>
      <w:proofErr w:type="spellEnd"/>
      <w:r w:rsidRPr="00825A66">
        <w:rPr>
          <w:rFonts w:asciiTheme="majorBidi" w:hAnsiTheme="majorBidi" w:cstheme="majorBidi"/>
          <w:b/>
          <w:bCs/>
          <w:sz w:val="24"/>
          <w:szCs w:val="24"/>
        </w:rPr>
        <w:t xml:space="preserve"> uzak rasyonel planlama ile olumlu </w:t>
      </w:r>
      <w:proofErr w:type="spellStart"/>
      <w:r w:rsidRPr="00825A66">
        <w:rPr>
          <w:rFonts w:asciiTheme="majorBidi" w:hAnsiTheme="majorBidi" w:cstheme="majorBidi"/>
          <w:b/>
          <w:bCs/>
          <w:sz w:val="24"/>
          <w:szCs w:val="24"/>
        </w:rPr>
        <w:t>sonuc</w:t>
      </w:r>
      <w:proofErr w:type="spellEnd"/>
      <w:r w:rsidRPr="00825A66">
        <w:rPr>
          <w:rFonts w:asciiTheme="majorBidi" w:hAnsiTheme="majorBidi" w:cstheme="majorBidi"/>
          <w:b/>
          <w:bCs/>
          <w:sz w:val="24"/>
          <w:szCs w:val="24"/>
        </w:rPr>
        <w:t xml:space="preserve">̧ </w:t>
      </w:r>
      <w:proofErr w:type="spellStart"/>
      <w:r w:rsidRPr="00825A66">
        <w:rPr>
          <w:rFonts w:asciiTheme="majorBidi" w:hAnsiTheme="majorBidi" w:cstheme="majorBidi"/>
          <w:b/>
          <w:bCs/>
          <w:sz w:val="24"/>
          <w:szCs w:val="24"/>
        </w:rPr>
        <w:t>üretmeye</w:t>
      </w:r>
      <w:proofErr w:type="spellEnd"/>
      <w:r w:rsidRPr="00825A66">
        <w:rPr>
          <w:rFonts w:asciiTheme="majorBidi" w:hAnsiTheme="majorBidi" w:cstheme="majorBidi"/>
          <w:b/>
          <w:bCs/>
          <w:sz w:val="24"/>
          <w:szCs w:val="24"/>
        </w:rPr>
        <w:t xml:space="preserve"> devam etmektedir.</w:t>
      </w:r>
      <w:r w:rsidRPr="00825A66">
        <w:rPr>
          <w:rFonts w:asciiTheme="majorBidi" w:hAnsiTheme="majorBidi" w:cstheme="majorBidi"/>
          <w:sz w:val="24"/>
          <w:szCs w:val="24"/>
        </w:rPr>
        <w:t xml:space="preserve"> </w:t>
      </w:r>
    </w:p>
    <w:p w14:paraId="36FE9BA8" w14:textId="77777777" w:rsidR="00D9330B" w:rsidRDefault="00D9330B" w:rsidP="00D9330B">
      <w:pPr>
        <w:pStyle w:val="NormalWeb"/>
        <w:spacing w:line="360" w:lineRule="auto"/>
        <w:jc w:val="both"/>
      </w:pPr>
      <w:proofErr w:type="spellStart"/>
      <w:r>
        <w:rPr>
          <w:rFonts w:asciiTheme="majorBidi" w:hAnsiTheme="majorBidi" w:cstheme="majorBidi"/>
          <w:b/>
          <w:bCs/>
        </w:rPr>
        <w:t>Dolululuk</w:t>
      </w:r>
      <w:proofErr w:type="spellEnd"/>
      <w:r>
        <w:rPr>
          <w:rFonts w:asciiTheme="majorBidi" w:hAnsiTheme="majorBidi" w:cstheme="majorBidi"/>
          <w:b/>
          <w:bCs/>
        </w:rPr>
        <w:t xml:space="preserve"> oranları</w:t>
      </w:r>
      <w:r w:rsidRPr="00825A66">
        <w:rPr>
          <w:rFonts w:asciiTheme="majorBidi" w:hAnsiTheme="majorBidi" w:cstheme="majorBidi"/>
          <w:b/>
          <w:bCs/>
        </w:rPr>
        <w:t xml:space="preserve"> </w:t>
      </w:r>
      <w:r>
        <w:rPr>
          <w:rFonts w:asciiTheme="majorBidi" w:hAnsiTheme="majorBidi" w:cstheme="majorBidi"/>
          <w:b/>
          <w:bCs/>
        </w:rPr>
        <w:t xml:space="preserve">(a) Devlet üniversiteleri, </w:t>
      </w:r>
      <w:r w:rsidRPr="00825A66">
        <w:rPr>
          <w:rFonts w:asciiTheme="majorBidi" w:hAnsiTheme="majorBidi" w:cstheme="majorBidi"/>
          <w:b/>
          <w:bCs/>
        </w:rPr>
        <w:t xml:space="preserve">(b) </w:t>
      </w:r>
      <w:r>
        <w:rPr>
          <w:rFonts w:asciiTheme="majorBidi" w:hAnsiTheme="majorBidi" w:cstheme="majorBidi"/>
          <w:b/>
          <w:bCs/>
        </w:rPr>
        <w:t xml:space="preserve">Vakıf </w:t>
      </w:r>
      <w:proofErr w:type="spellStart"/>
      <w:r>
        <w:rPr>
          <w:rFonts w:asciiTheme="majorBidi" w:hAnsiTheme="majorBidi" w:cstheme="majorBidi"/>
          <w:b/>
          <w:bCs/>
        </w:rPr>
        <w:t>üniversiteleri</w:t>
      </w:r>
      <w:proofErr w:type="spellEnd"/>
      <w:r>
        <w:rPr>
          <w:rFonts w:asciiTheme="majorBidi" w:hAnsiTheme="majorBidi" w:cstheme="majorBidi"/>
          <w:b/>
          <w:bCs/>
        </w:rPr>
        <w:t>, (c</w:t>
      </w:r>
      <w:r w:rsidRPr="00825A66">
        <w:rPr>
          <w:rFonts w:asciiTheme="majorBidi" w:hAnsiTheme="majorBidi" w:cstheme="majorBidi"/>
          <w:b/>
          <w:bCs/>
        </w:rPr>
        <w:t xml:space="preserve">) </w:t>
      </w:r>
      <w:r>
        <w:rPr>
          <w:rFonts w:asciiTheme="majorBidi" w:hAnsiTheme="majorBidi" w:cstheme="majorBidi"/>
          <w:b/>
          <w:bCs/>
        </w:rPr>
        <w:t xml:space="preserve">KKTC’deki </w:t>
      </w:r>
      <w:proofErr w:type="spellStart"/>
      <w:r>
        <w:rPr>
          <w:rFonts w:asciiTheme="majorBidi" w:hAnsiTheme="majorBidi" w:cstheme="majorBidi"/>
          <w:b/>
          <w:bCs/>
        </w:rPr>
        <w:t>üniversitelerde</w:t>
      </w:r>
      <w:proofErr w:type="spellEnd"/>
      <w:r>
        <w:rPr>
          <w:rFonts w:asciiTheme="majorBidi" w:hAnsiTheme="majorBidi" w:cstheme="majorBidi"/>
          <w:b/>
          <w:bCs/>
        </w:rPr>
        <w:t>, ayrıca (ç</w:t>
      </w:r>
      <w:r w:rsidRPr="00825A66">
        <w:rPr>
          <w:rFonts w:asciiTheme="majorBidi" w:hAnsiTheme="majorBidi" w:cstheme="majorBidi"/>
          <w:b/>
          <w:bCs/>
        </w:rPr>
        <w:t>) lisans</w:t>
      </w:r>
      <w:r>
        <w:rPr>
          <w:rFonts w:asciiTheme="majorBidi" w:hAnsiTheme="majorBidi" w:cstheme="majorBidi"/>
          <w:b/>
          <w:bCs/>
        </w:rPr>
        <w:t xml:space="preserve">, </w:t>
      </w:r>
      <w:r w:rsidRPr="00825A66">
        <w:rPr>
          <w:rFonts w:asciiTheme="majorBidi" w:hAnsiTheme="majorBidi" w:cstheme="majorBidi"/>
          <w:b/>
          <w:bCs/>
        </w:rPr>
        <w:t xml:space="preserve">(d) </w:t>
      </w:r>
      <w:proofErr w:type="spellStart"/>
      <w:r>
        <w:rPr>
          <w:rFonts w:asciiTheme="majorBidi" w:hAnsiTheme="majorBidi" w:cstheme="majorBidi"/>
          <w:b/>
          <w:bCs/>
        </w:rPr>
        <w:t>önlisans</w:t>
      </w:r>
      <w:proofErr w:type="spellEnd"/>
      <w:r>
        <w:rPr>
          <w:rFonts w:asciiTheme="majorBidi" w:hAnsiTheme="majorBidi" w:cstheme="majorBidi"/>
          <w:b/>
          <w:bCs/>
        </w:rPr>
        <w:t xml:space="preserve">, </w:t>
      </w:r>
      <w:r w:rsidRPr="00825A66">
        <w:rPr>
          <w:rFonts w:asciiTheme="majorBidi" w:hAnsiTheme="majorBidi" w:cstheme="majorBidi"/>
          <w:b/>
          <w:bCs/>
        </w:rPr>
        <w:t xml:space="preserve">(e) </w:t>
      </w:r>
      <w:proofErr w:type="spellStart"/>
      <w:r>
        <w:rPr>
          <w:rFonts w:asciiTheme="majorBidi" w:hAnsiTheme="majorBidi" w:cstheme="majorBidi"/>
          <w:b/>
          <w:bCs/>
        </w:rPr>
        <w:t>örgün</w:t>
      </w:r>
      <w:proofErr w:type="spellEnd"/>
      <w:r>
        <w:rPr>
          <w:rFonts w:asciiTheme="majorBidi" w:hAnsiTheme="majorBidi" w:cstheme="majorBidi"/>
          <w:b/>
          <w:bCs/>
        </w:rPr>
        <w:t xml:space="preserve"> ve</w:t>
      </w:r>
      <w:r w:rsidRPr="00825A66">
        <w:rPr>
          <w:rFonts w:asciiTheme="majorBidi" w:hAnsiTheme="majorBidi" w:cstheme="majorBidi"/>
          <w:b/>
          <w:bCs/>
        </w:rPr>
        <w:t xml:space="preserve"> (f) </w:t>
      </w:r>
      <w:proofErr w:type="spellStart"/>
      <w:r w:rsidRPr="00825A66">
        <w:rPr>
          <w:rFonts w:asciiTheme="majorBidi" w:hAnsiTheme="majorBidi" w:cstheme="majorBidi"/>
          <w:b/>
          <w:bCs/>
        </w:rPr>
        <w:t>açıköğ</w:t>
      </w:r>
      <w:r>
        <w:rPr>
          <w:rFonts w:asciiTheme="majorBidi" w:hAnsiTheme="majorBidi" w:cstheme="majorBidi"/>
          <w:b/>
          <w:bCs/>
        </w:rPr>
        <w:t>retim</w:t>
      </w:r>
      <w:proofErr w:type="spellEnd"/>
      <w:r>
        <w:rPr>
          <w:rFonts w:asciiTheme="majorBidi" w:hAnsiTheme="majorBidi" w:cstheme="majorBidi"/>
          <w:b/>
          <w:bCs/>
        </w:rPr>
        <w:t xml:space="preserve"> programlarında, </w:t>
      </w:r>
      <w:r w:rsidRPr="00825A66">
        <w:rPr>
          <w:rFonts w:asciiTheme="majorBidi" w:hAnsiTheme="majorBidi" w:cstheme="majorBidi"/>
          <w:b/>
          <w:bCs/>
        </w:rPr>
        <w:t xml:space="preserve">yani </w:t>
      </w:r>
      <w:proofErr w:type="spellStart"/>
      <w:r w:rsidRPr="00825A66">
        <w:rPr>
          <w:rFonts w:asciiTheme="majorBidi" w:hAnsiTheme="majorBidi" w:cstheme="majorBidi"/>
          <w:b/>
          <w:bCs/>
        </w:rPr>
        <w:t>bütün</w:t>
      </w:r>
      <w:proofErr w:type="spellEnd"/>
      <w:r w:rsidRPr="00825A66">
        <w:rPr>
          <w:rFonts w:asciiTheme="majorBidi" w:hAnsiTheme="majorBidi" w:cstheme="majorBidi"/>
          <w:b/>
          <w:bCs/>
        </w:rPr>
        <w:t xml:space="preserve"> </w:t>
      </w:r>
      <w:proofErr w:type="spellStart"/>
      <w:r>
        <w:rPr>
          <w:rFonts w:ascii="TimesNewRomanPS" w:hAnsi="TimesNewRomanPS"/>
          <w:b/>
          <w:bCs/>
        </w:rPr>
        <w:t>başlıklarda</w:t>
      </w:r>
      <w:proofErr w:type="spellEnd"/>
      <w:r>
        <w:rPr>
          <w:rFonts w:ascii="TimesNewRomanPS" w:hAnsi="TimesNewRomanPS"/>
          <w:b/>
          <w:bCs/>
        </w:rPr>
        <w:t xml:space="preserve"> ve kategorilerde </w:t>
      </w:r>
      <w:proofErr w:type="spellStart"/>
      <w:r>
        <w:rPr>
          <w:rFonts w:ascii="TimesNewRomanPS" w:hAnsi="TimesNewRomanPS"/>
          <w:b/>
          <w:bCs/>
        </w:rPr>
        <w:t>önemli</w:t>
      </w:r>
      <w:proofErr w:type="spellEnd"/>
      <w:r>
        <w:rPr>
          <w:rFonts w:ascii="TimesNewRomanPS" w:hAnsi="TimesNewRomanPS"/>
          <w:b/>
          <w:bCs/>
        </w:rPr>
        <w:t xml:space="preserve"> kabul edilecek bir düzeyde </w:t>
      </w:r>
      <w:proofErr w:type="spellStart"/>
      <w:r>
        <w:rPr>
          <w:rFonts w:ascii="TimesNewRomanPS" w:hAnsi="TimesNewRomanPS"/>
          <w:b/>
          <w:bCs/>
        </w:rPr>
        <w:t>artmıştır</w:t>
      </w:r>
      <w:proofErr w:type="spellEnd"/>
      <w:r>
        <w:rPr>
          <w:rFonts w:ascii="TimesNewRomanPS" w:hAnsi="TimesNewRomanPS"/>
          <w:b/>
          <w:bCs/>
        </w:rPr>
        <w:t xml:space="preserve">. </w:t>
      </w:r>
      <w:proofErr w:type="spellStart"/>
      <w:r>
        <w:t>Sonuçlar</w:t>
      </w:r>
      <w:proofErr w:type="spellEnd"/>
      <w:r>
        <w:t xml:space="preserve"> kamuoyu </w:t>
      </w:r>
      <w:proofErr w:type="spellStart"/>
      <w:r>
        <w:t>önünde</w:t>
      </w:r>
      <w:proofErr w:type="spellEnd"/>
      <w:r>
        <w:t xml:space="preserve"> beyan </w:t>
      </w:r>
      <w:proofErr w:type="spellStart"/>
      <w:r>
        <w:t>ettiğimiz</w:t>
      </w:r>
      <w:proofErr w:type="spellEnd"/>
      <w:r>
        <w:t xml:space="preserve"> hedeflere tam olarak uygunluk </w:t>
      </w:r>
      <w:proofErr w:type="spellStart"/>
      <w:proofErr w:type="gramStart"/>
      <w:r>
        <w:t>göstermektedir</w:t>
      </w:r>
      <w:proofErr w:type="spellEnd"/>
      <w:r>
        <w:t>..</w:t>
      </w:r>
      <w:proofErr w:type="gramEnd"/>
      <w:r>
        <w:t xml:space="preserve"> </w:t>
      </w:r>
    </w:p>
    <w:p w14:paraId="60A65B7D" w14:textId="77777777" w:rsidR="00D9330B" w:rsidRPr="00FA05FB" w:rsidRDefault="00D9330B" w:rsidP="00D9330B">
      <w:pPr>
        <w:pStyle w:val="NormalWeb"/>
        <w:spacing w:line="360" w:lineRule="auto"/>
        <w:jc w:val="both"/>
      </w:pPr>
      <w:r w:rsidRPr="00FA05FB">
        <w:rPr>
          <w:rFonts w:ascii="TimesNewRomanPS" w:hAnsi="TimesNewRomanPS"/>
        </w:rPr>
        <w:t xml:space="preserve">YÖK’ün başarısının veya performansının sadece bir sınav ile ölçülemeyeceği ve sınav sonuçlarının </w:t>
      </w:r>
      <w:r>
        <w:rPr>
          <w:rFonts w:ascii="TimesNewRomanPS" w:hAnsi="TimesNewRomanPS"/>
        </w:rPr>
        <w:t>bu konunun</w:t>
      </w:r>
      <w:r w:rsidRPr="00FA05FB">
        <w:rPr>
          <w:rFonts w:ascii="TimesNewRomanPS" w:hAnsi="TimesNewRomanPS"/>
        </w:rPr>
        <w:t xml:space="preserve"> en önemli kriteri olamayacağı açık olmakla birlikte bunun zaman zaman böyle sunulması dolayısıyla</w:t>
      </w:r>
      <w:r>
        <w:rPr>
          <w:rFonts w:ascii="TimesNewRomanPS" w:hAnsi="TimesNewRomanPS"/>
        </w:rPr>
        <w:t xml:space="preserve">, </w:t>
      </w:r>
      <w:r>
        <w:rPr>
          <w:rFonts w:ascii="TimesNewRomanPS" w:hAnsi="TimesNewRomanPS"/>
          <w:b/>
          <w:bCs/>
        </w:rPr>
        <w:t xml:space="preserve">YÖK olarak </w:t>
      </w:r>
      <w:r w:rsidRPr="00D74BF0">
        <w:rPr>
          <w:rFonts w:ascii="TimesNewRomanPS" w:hAnsi="TimesNewRomanPS"/>
          <w:b/>
          <w:bCs/>
        </w:rPr>
        <w:t>yaptığımız planlamaların başarılı sonuçlar ürettiğini</w:t>
      </w:r>
      <w:r>
        <w:rPr>
          <w:rFonts w:ascii="TimesNewRomanPS" w:hAnsi="TimesNewRomanPS"/>
          <w:b/>
          <w:bCs/>
        </w:rPr>
        <w:t xml:space="preserve"> büyük bir memnuniyetle ifade etmek</w:t>
      </w:r>
      <w:r w:rsidRPr="00D74BF0">
        <w:rPr>
          <w:rFonts w:ascii="TimesNewRomanPS" w:hAnsi="TimesNewRomanPS"/>
          <w:b/>
          <w:bCs/>
        </w:rPr>
        <w:t xml:space="preserve"> isteriz. Bu başarılı sonucun arkasında veriye dayalı bilimsel zeminde sürdürülen büyük bir gayret ve uzun soluklu çalışma kadar tecrübe birikiminin, liyakat ve ehliyet anlayışının da payı vardır. </w:t>
      </w:r>
      <w:r>
        <w:rPr>
          <w:rFonts w:ascii="TimesNewRomanPS" w:hAnsi="TimesNewRomanPS"/>
        </w:rPr>
        <w:t>Yükseköğretimde t</w:t>
      </w:r>
      <w:r w:rsidRPr="00FA05FB">
        <w:rPr>
          <w:rFonts w:ascii="TimesNewRomanPS" w:hAnsi="TimesNewRomanPS"/>
        </w:rPr>
        <w:t xml:space="preserve">ecrübenin hiçbir alternatifinin olamayacağı ve karar mekanizmalarında muhakkak yararlanılması icap ettiği </w:t>
      </w:r>
      <w:r>
        <w:rPr>
          <w:rFonts w:ascii="TimesNewRomanPS" w:hAnsi="TimesNewRomanPS"/>
        </w:rPr>
        <w:t>bu vesile ile bir defa daha görülmüştür</w:t>
      </w:r>
      <w:r w:rsidRPr="00FA05FB">
        <w:rPr>
          <w:rFonts w:ascii="TimesNewRomanPS" w:hAnsi="TimesNewRomanPS"/>
        </w:rPr>
        <w:t xml:space="preserve">. </w:t>
      </w:r>
      <w:r>
        <w:rPr>
          <w:rFonts w:ascii="TimesNewRomanPS" w:hAnsi="TimesNewRomanPS"/>
        </w:rPr>
        <w:t xml:space="preserve">Bu dönemde üniversitelerin boş kalacağı, başta vakıf üniversitelerinde olmak üzere çok büyük sayıda boş kontenjan oluşacağı yönündeki tahminlerin YÖK’ün tecrübe ve veriye dayalı planlamaları karşısında gerçekleşmediği ortadır. </w:t>
      </w:r>
      <w:r w:rsidRPr="006765BD">
        <w:rPr>
          <w:rFonts w:ascii="TimesNewRomanPS" w:hAnsi="TimesNewRomanPS"/>
          <w:b/>
          <w:bCs/>
        </w:rPr>
        <w:t>Yeni YÖK olarak, y</w:t>
      </w:r>
      <w:r>
        <w:rPr>
          <w:rFonts w:ascii="TimesNewRomanPS" w:hAnsi="TimesNewRomanPS"/>
          <w:b/>
          <w:bCs/>
        </w:rPr>
        <w:t>üksek</w:t>
      </w:r>
      <w:r w:rsidRPr="006765BD">
        <w:rPr>
          <w:rFonts w:ascii="TimesNewRomanPS" w:hAnsi="TimesNewRomanPS"/>
          <w:b/>
          <w:bCs/>
        </w:rPr>
        <w:t xml:space="preserve">öğretim sistemini </w:t>
      </w:r>
      <w:r>
        <w:rPr>
          <w:rFonts w:ascii="TimesNewRomanPS" w:hAnsi="TimesNewRomanPS"/>
          <w:b/>
          <w:bCs/>
        </w:rPr>
        <w:t xml:space="preserve">bilimsel bir zeminde </w:t>
      </w:r>
      <w:r w:rsidRPr="006765BD">
        <w:rPr>
          <w:rFonts w:ascii="TimesNewRomanPS" w:hAnsi="TimesNewRomanPS"/>
          <w:b/>
          <w:bCs/>
        </w:rPr>
        <w:t>tecrübe</w:t>
      </w:r>
      <w:r>
        <w:rPr>
          <w:rFonts w:ascii="TimesNewRomanPS" w:hAnsi="TimesNewRomanPS"/>
          <w:b/>
          <w:bCs/>
        </w:rPr>
        <w:t xml:space="preserve">ye dayalı </w:t>
      </w:r>
      <w:proofErr w:type="gramStart"/>
      <w:r>
        <w:rPr>
          <w:rFonts w:ascii="TimesNewRomanPS" w:hAnsi="TimesNewRomanPS"/>
          <w:b/>
          <w:bCs/>
        </w:rPr>
        <w:t xml:space="preserve">olarak </w:t>
      </w:r>
      <w:r w:rsidRPr="006765BD">
        <w:rPr>
          <w:rFonts w:ascii="TimesNewRomanPS" w:hAnsi="TimesNewRomanPS"/>
          <w:b/>
          <w:bCs/>
        </w:rPr>
        <w:t xml:space="preserve"> </w:t>
      </w:r>
      <w:r>
        <w:rPr>
          <w:rFonts w:ascii="TimesNewRomanPS" w:hAnsi="TimesNewRomanPS"/>
          <w:b/>
          <w:bCs/>
        </w:rPr>
        <w:t>“</w:t>
      </w:r>
      <w:proofErr w:type="gramEnd"/>
      <w:r>
        <w:rPr>
          <w:rFonts w:ascii="TimesNewRomanPS" w:hAnsi="TimesNewRomanPS"/>
          <w:b/>
          <w:bCs/>
        </w:rPr>
        <w:t>tedrici” bir şekilde</w:t>
      </w:r>
      <w:r w:rsidRPr="006765BD">
        <w:rPr>
          <w:rFonts w:ascii="TimesNewRomanPS" w:hAnsi="TimesNewRomanPS"/>
          <w:b/>
          <w:bCs/>
        </w:rPr>
        <w:t xml:space="preserve"> yeniden yapılandırmaktayız.</w:t>
      </w:r>
      <w:r w:rsidRPr="00FA05FB">
        <w:rPr>
          <w:rFonts w:ascii="TimesNewRomanPS" w:hAnsi="TimesNewRomanPS"/>
        </w:rPr>
        <w:t xml:space="preserve"> </w:t>
      </w:r>
      <w:r>
        <w:rPr>
          <w:rFonts w:ascii="TimesNewRomanPS" w:hAnsi="TimesNewRomanPS"/>
        </w:rPr>
        <w:t xml:space="preserve">Sistemin pek çok alanındaki iyileştirmeler beş yıl önce dediğimiz gibi, sistemin bütününde artık hissedilir bir değişimi de beraberinde getirmektedir. </w:t>
      </w:r>
      <w:r w:rsidRPr="00FA05FB">
        <w:rPr>
          <w:rFonts w:ascii="TimesNewRomanPS" w:hAnsi="TimesNewRomanPS"/>
        </w:rPr>
        <w:t>YÖK artık</w:t>
      </w:r>
      <w:r>
        <w:rPr>
          <w:rFonts w:ascii="TimesNewRomanPS" w:hAnsi="TimesNewRomanPS"/>
        </w:rPr>
        <w:t>,</w:t>
      </w:r>
      <w:r w:rsidRPr="00FA05FB">
        <w:rPr>
          <w:rFonts w:ascii="TimesNewRomanPS" w:hAnsi="TimesNewRomanPS"/>
        </w:rPr>
        <w:t xml:space="preserve"> </w:t>
      </w:r>
      <w:r>
        <w:rPr>
          <w:rFonts w:ascii="TimesNewRomanPS" w:hAnsi="TimesNewRomanPS"/>
        </w:rPr>
        <w:t xml:space="preserve">başlatmış olduğu </w:t>
      </w:r>
      <w:r w:rsidRPr="00FA05FB">
        <w:rPr>
          <w:rFonts w:ascii="TimesNewRomanPS" w:hAnsi="TimesNewRomanPS"/>
        </w:rPr>
        <w:t>yetki devi</w:t>
      </w:r>
      <w:r>
        <w:rPr>
          <w:rFonts w:ascii="TimesNewRomanPS" w:hAnsi="TimesNewRomanPS"/>
        </w:rPr>
        <w:t>rleri süreci</w:t>
      </w:r>
      <w:r w:rsidRPr="00FA05FB">
        <w:rPr>
          <w:rFonts w:ascii="TimesNewRomanPS" w:hAnsi="TimesNewRomanPS"/>
        </w:rPr>
        <w:t xml:space="preserve"> ile günlük rutin işlerden ziyade üst düzey planlama ve projelere</w:t>
      </w:r>
      <w:r>
        <w:rPr>
          <w:rFonts w:ascii="TimesNewRomanPS" w:hAnsi="TimesNewRomanPS"/>
        </w:rPr>
        <w:t xml:space="preserve">, yükseköğretim politikalarına yönelmekte, enerjisini bu istikamette </w:t>
      </w:r>
      <w:r>
        <w:rPr>
          <w:rFonts w:ascii="TimesNewRomanPS" w:hAnsi="TimesNewRomanPS"/>
        </w:rPr>
        <w:lastRenderedPageBreak/>
        <w:t>harcamaktadır</w:t>
      </w:r>
      <w:r w:rsidRPr="00FA05FB">
        <w:rPr>
          <w:rFonts w:ascii="TimesNewRomanPS" w:hAnsi="TimesNewRomanPS"/>
        </w:rPr>
        <w:t>. Bu</w:t>
      </w:r>
      <w:r>
        <w:rPr>
          <w:rFonts w:ascii="TimesNewRomanPS" w:hAnsi="TimesNewRomanPS"/>
        </w:rPr>
        <w:t xml:space="preserve"> olumlu tablodan cesaret alarak Yükseköğretim Kurulu </w:t>
      </w:r>
      <w:r w:rsidRPr="003153FC">
        <w:rPr>
          <w:rFonts w:ascii="TimesNewRomanPS" w:hAnsi="TimesNewRomanPS"/>
        </w:rPr>
        <w:t xml:space="preserve">olarak </w:t>
      </w:r>
      <w:r w:rsidRPr="00FA05FB">
        <w:rPr>
          <w:rFonts w:ascii="TimesNewRomanPS" w:hAnsi="TimesNewRomanPS"/>
        </w:rPr>
        <w:t xml:space="preserve">önümüzdeki günlerde </w:t>
      </w:r>
      <w:r>
        <w:rPr>
          <w:rFonts w:ascii="TimesNewRomanPS" w:hAnsi="TimesNewRomanPS"/>
        </w:rPr>
        <w:t xml:space="preserve">(1) kalite ve (2) liyakat odaklı önemli yeni adımlar atmayı planlamaktayız. </w:t>
      </w:r>
    </w:p>
    <w:p w14:paraId="6910B3FB" w14:textId="77777777" w:rsidR="00D9330B" w:rsidRDefault="00D9330B" w:rsidP="00D9330B">
      <w:pPr>
        <w:pStyle w:val="NormalWeb"/>
        <w:spacing w:line="360" w:lineRule="auto"/>
        <w:jc w:val="both"/>
      </w:pPr>
      <w:r>
        <w:t xml:space="preserve">Bu vesile ile sıra dışı ve zor şartlar altında bu sınavı gerçekleştiren başta ÖSYM’ye ve sınava katkı sağlayan tüm görevlilere teşekkür etmeyi kadirşinaslık icabı görmekteyiz.  </w:t>
      </w:r>
    </w:p>
    <w:p w14:paraId="40D5A1C4" w14:textId="77777777" w:rsidR="00D9330B" w:rsidRPr="003153FC" w:rsidRDefault="00D9330B" w:rsidP="00D9330B">
      <w:pPr>
        <w:pStyle w:val="NormalWeb"/>
        <w:spacing w:line="360" w:lineRule="auto"/>
        <w:jc w:val="both"/>
        <w:rPr>
          <w:b/>
        </w:rPr>
      </w:pPr>
      <w:r w:rsidRPr="003153FC">
        <w:rPr>
          <w:b/>
        </w:rPr>
        <w:t>Saygılarımızla…</w:t>
      </w:r>
    </w:p>
    <w:p w14:paraId="5DFFE2B4" w14:textId="77777777" w:rsidR="000B598A" w:rsidRDefault="000B598A" w:rsidP="0026050E">
      <w:pPr>
        <w:pStyle w:val="NormalWeb"/>
        <w:spacing w:line="360" w:lineRule="auto"/>
        <w:jc w:val="both"/>
      </w:pPr>
    </w:p>
    <w:p w14:paraId="3CA8FD57" w14:textId="77777777" w:rsidR="0026050E" w:rsidRPr="00327ABE" w:rsidRDefault="0026050E" w:rsidP="00327ABE">
      <w:pPr>
        <w:pStyle w:val="NormalWeb"/>
        <w:spacing w:line="360" w:lineRule="auto"/>
        <w:ind w:left="462"/>
        <w:jc w:val="both"/>
        <w:rPr>
          <w:b/>
        </w:rPr>
      </w:pPr>
    </w:p>
    <w:p w14:paraId="3A0BC64D" w14:textId="77777777" w:rsidR="00747B88" w:rsidRDefault="00747B88" w:rsidP="00327ABE">
      <w:pPr>
        <w:pStyle w:val="NormalWeb"/>
        <w:spacing w:line="360" w:lineRule="auto"/>
        <w:jc w:val="both"/>
      </w:pPr>
    </w:p>
    <w:p w14:paraId="70C34DB0" w14:textId="77777777" w:rsidR="00CD7704" w:rsidRDefault="00CD7704" w:rsidP="00327ABE">
      <w:pPr>
        <w:pStyle w:val="NormalWeb"/>
        <w:spacing w:line="360" w:lineRule="auto"/>
        <w:jc w:val="both"/>
      </w:pPr>
    </w:p>
    <w:p w14:paraId="0F88515A" w14:textId="77777777" w:rsidR="00CD7704" w:rsidRDefault="00CD7704" w:rsidP="00327ABE">
      <w:pPr>
        <w:pStyle w:val="NormalWeb"/>
        <w:spacing w:line="360" w:lineRule="auto"/>
        <w:jc w:val="both"/>
      </w:pPr>
    </w:p>
    <w:p w14:paraId="7BA59945" w14:textId="77777777" w:rsidR="008E5FBA" w:rsidRDefault="008E5FBA" w:rsidP="00924711">
      <w:pPr>
        <w:pStyle w:val="Balk1"/>
        <w:spacing w:before="76" w:line="360" w:lineRule="auto"/>
        <w:ind w:left="102" w:right="308" w:firstLine="0"/>
      </w:pPr>
    </w:p>
    <w:p w14:paraId="1AF5F962" w14:textId="77777777" w:rsidR="00FF78F9" w:rsidRDefault="00FF78F9" w:rsidP="00FF78F9">
      <w:pPr>
        <w:pStyle w:val="Balk1"/>
        <w:spacing w:before="76" w:line="360" w:lineRule="auto"/>
        <w:ind w:right="308" w:firstLine="0"/>
      </w:pPr>
    </w:p>
    <w:sectPr w:rsidR="00FF78F9">
      <w:footerReference w:type="default" r:id="rId11"/>
      <w:pgSz w:w="11910" w:h="16850"/>
      <w:pgMar w:top="1340" w:right="800" w:bottom="280" w:left="1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E5F43" w14:textId="77777777" w:rsidR="003D4F66" w:rsidRDefault="003D4F66" w:rsidP="00D01C1C">
      <w:r>
        <w:separator/>
      </w:r>
    </w:p>
  </w:endnote>
  <w:endnote w:type="continuationSeparator" w:id="0">
    <w:p w14:paraId="368FA908" w14:textId="77777777" w:rsidR="003D4F66" w:rsidRDefault="003D4F66" w:rsidP="00D0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91140"/>
      <w:docPartObj>
        <w:docPartGallery w:val="Page Numbers (Bottom of Page)"/>
        <w:docPartUnique/>
      </w:docPartObj>
    </w:sdtPr>
    <w:sdtEndPr/>
    <w:sdtContent>
      <w:p w14:paraId="27D71374" w14:textId="6D52EAA9" w:rsidR="00E16C2C" w:rsidRDefault="00E16C2C">
        <w:pPr>
          <w:pStyle w:val="AltBilgi"/>
          <w:jc w:val="center"/>
        </w:pPr>
        <w:r>
          <w:fldChar w:fldCharType="begin"/>
        </w:r>
        <w:r>
          <w:instrText>PAGE   \* MERGEFORMAT</w:instrText>
        </w:r>
        <w:r>
          <w:fldChar w:fldCharType="separate"/>
        </w:r>
        <w:r w:rsidR="003153FC">
          <w:rPr>
            <w:noProof/>
          </w:rPr>
          <w:t>13</w:t>
        </w:r>
        <w:r>
          <w:fldChar w:fldCharType="end"/>
        </w:r>
      </w:p>
    </w:sdtContent>
  </w:sdt>
  <w:p w14:paraId="01120038" w14:textId="77777777" w:rsidR="00E16C2C" w:rsidRDefault="00E16C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D78C" w14:textId="77777777" w:rsidR="003D4F66" w:rsidRDefault="003D4F66" w:rsidP="00D01C1C">
      <w:r>
        <w:separator/>
      </w:r>
    </w:p>
  </w:footnote>
  <w:footnote w:type="continuationSeparator" w:id="0">
    <w:p w14:paraId="554C3982" w14:textId="77777777" w:rsidR="003D4F66" w:rsidRDefault="003D4F66" w:rsidP="00D0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58"/>
    <w:multiLevelType w:val="hybridMultilevel"/>
    <w:tmpl w:val="83BEB3AC"/>
    <w:lvl w:ilvl="0" w:tplc="77F6B528">
      <w:start w:val="1"/>
      <w:numFmt w:val="decimal"/>
      <w:lvlText w:val="%1."/>
      <w:lvlJc w:val="left"/>
      <w:pPr>
        <w:ind w:left="462" w:hanging="360"/>
        <w:jc w:val="right"/>
      </w:pPr>
      <w:rPr>
        <w:rFonts w:ascii="Times New Roman" w:eastAsia="Times New Roman" w:hAnsi="Times New Roman" w:cs="Times New Roman" w:hint="default"/>
        <w:b/>
        <w:bCs/>
        <w:spacing w:val="-3"/>
        <w:w w:val="100"/>
        <w:sz w:val="24"/>
        <w:szCs w:val="24"/>
        <w:lang w:val="tr-TR" w:eastAsia="tr-TR" w:bidi="tr-TR"/>
      </w:rPr>
    </w:lvl>
    <w:lvl w:ilvl="1" w:tplc="2F4A9FEA">
      <w:numFmt w:val="bullet"/>
      <w:lvlText w:val=""/>
      <w:lvlJc w:val="left"/>
      <w:pPr>
        <w:ind w:left="898" w:hanging="360"/>
      </w:pPr>
      <w:rPr>
        <w:rFonts w:ascii="Symbol" w:eastAsia="Symbol" w:hAnsi="Symbol" w:cs="Symbol" w:hint="default"/>
        <w:w w:val="100"/>
        <w:sz w:val="24"/>
        <w:szCs w:val="24"/>
        <w:lang w:val="tr-TR" w:eastAsia="tr-TR" w:bidi="tr-TR"/>
      </w:rPr>
    </w:lvl>
    <w:lvl w:ilvl="2" w:tplc="53509EEE">
      <w:numFmt w:val="bullet"/>
      <w:lvlText w:val="•"/>
      <w:lvlJc w:val="left"/>
      <w:pPr>
        <w:ind w:left="1895" w:hanging="360"/>
      </w:pPr>
      <w:rPr>
        <w:rFonts w:hint="default"/>
        <w:lang w:val="tr-TR" w:eastAsia="tr-TR" w:bidi="tr-TR"/>
      </w:rPr>
    </w:lvl>
    <w:lvl w:ilvl="3" w:tplc="88E681CE">
      <w:numFmt w:val="bullet"/>
      <w:lvlText w:val="•"/>
      <w:lvlJc w:val="left"/>
      <w:pPr>
        <w:ind w:left="2891" w:hanging="360"/>
      </w:pPr>
      <w:rPr>
        <w:rFonts w:hint="default"/>
        <w:lang w:val="tr-TR" w:eastAsia="tr-TR" w:bidi="tr-TR"/>
      </w:rPr>
    </w:lvl>
    <w:lvl w:ilvl="4" w:tplc="355A11F6">
      <w:numFmt w:val="bullet"/>
      <w:lvlText w:val="•"/>
      <w:lvlJc w:val="left"/>
      <w:pPr>
        <w:ind w:left="3887" w:hanging="360"/>
      </w:pPr>
      <w:rPr>
        <w:rFonts w:hint="default"/>
        <w:lang w:val="tr-TR" w:eastAsia="tr-TR" w:bidi="tr-TR"/>
      </w:rPr>
    </w:lvl>
    <w:lvl w:ilvl="5" w:tplc="4F7A8E08">
      <w:numFmt w:val="bullet"/>
      <w:lvlText w:val="•"/>
      <w:lvlJc w:val="left"/>
      <w:pPr>
        <w:ind w:left="4882" w:hanging="360"/>
      </w:pPr>
      <w:rPr>
        <w:rFonts w:hint="default"/>
        <w:lang w:val="tr-TR" w:eastAsia="tr-TR" w:bidi="tr-TR"/>
      </w:rPr>
    </w:lvl>
    <w:lvl w:ilvl="6" w:tplc="736C695E">
      <w:numFmt w:val="bullet"/>
      <w:lvlText w:val="•"/>
      <w:lvlJc w:val="left"/>
      <w:pPr>
        <w:ind w:left="5878" w:hanging="360"/>
      </w:pPr>
      <w:rPr>
        <w:rFonts w:hint="default"/>
        <w:lang w:val="tr-TR" w:eastAsia="tr-TR" w:bidi="tr-TR"/>
      </w:rPr>
    </w:lvl>
    <w:lvl w:ilvl="7" w:tplc="9C1C47EC">
      <w:numFmt w:val="bullet"/>
      <w:lvlText w:val="•"/>
      <w:lvlJc w:val="left"/>
      <w:pPr>
        <w:ind w:left="6874" w:hanging="360"/>
      </w:pPr>
      <w:rPr>
        <w:rFonts w:hint="default"/>
        <w:lang w:val="tr-TR" w:eastAsia="tr-TR" w:bidi="tr-TR"/>
      </w:rPr>
    </w:lvl>
    <w:lvl w:ilvl="8" w:tplc="9992F7D0">
      <w:numFmt w:val="bullet"/>
      <w:lvlText w:val="•"/>
      <w:lvlJc w:val="left"/>
      <w:pPr>
        <w:ind w:left="7870" w:hanging="360"/>
      </w:pPr>
      <w:rPr>
        <w:rFonts w:hint="default"/>
        <w:lang w:val="tr-TR" w:eastAsia="tr-TR" w:bidi="tr-TR"/>
      </w:rPr>
    </w:lvl>
  </w:abstractNum>
  <w:abstractNum w:abstractNumId="1" w15:restartNumberingAfterBreak="0">
    <w:nsid w:val="0EAF0FA1"/>
    <w:multiLevelType w:val="multilevel"/>
    <w:tmpl w:val="862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B0505"/>
    <w:multiLevelType w:val="hybridMultilevel"/>
    <w:tmpl w:val="73A84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2F18D8"/>
    <w:multiLevelType w:val="hybridMultilevel"/>
    <w:tmpl w:val="2E92E1F2"/>
    <w:lvl w:ilvl="0" w:tplc="C3F2A6B4">
      <w:start w:val="1"/>
      <w:numFmt w:val="decimal"/>
      <w:lvlText w:val="%1."/>
      <w:lvlJc w:val="left"/>
      <w:pPr>
        <w:ind w:left="3" w:hanging="360"/>
      </w:pPr>
      <w:rPr>
        <w:rFonts w:ascii="Times New Roman" w:hAnsi="Times New Roman" w:cs="Times New Roman" w:hint="default"/>
        <w:b/>
        <w:sz w:val="24"/>
        <w:szCs w:val="24"/>
      </w:rPr>
    </w:lvl>
    <w:lvl w:ilvl="1" w:tplc="041F0019" w:tentative="1">
      <w:start w:val="1"/>
      <w:numFmt w:val="lowerLetter"/>
      <w:lvlText w:val="%2."/>
      <w:lvlJc w:val="left"/>
      <w:pPr>
        <w:ind w:left="723" w:hanging="360"/>
      </w:pPr>
    </w:lvl>
    <w:lvl w:ilvl="2" w:tplc="041F001B" w:tentative="1">
      <w:start w:val="1"/>
      <w:numFmt w:val="lowerRoman"/>
      <w:lvlText w:val="%3."/>
      <w:lvlJc w:val="right"/>
      <w:pPr>
        <w:ind w:left="1443" w:hanging="180"/>
      </w:pPr>
    </w:lvl>
    <w:lvl w:ilvl="3" w:tplc="041F000F" w:tentative="1">
      <w:start w:val="1"/>
      <w:numFmt w:val="decimal"/>
      <w:lvlText w:val="%4."/>
      <w:lvlJc w:val="left"/>
      <w:pPr>
        <w:ind w:left="2163" w:hanging="360"/>
      </w:pPr>
    </w:lvl>
    <w:lvl w:ilvl="4" w:tplc="041F0019" w:tentative="1">
      <w:start w:val="1"/>
      <w:numFmt w:val="lowerLetter"/>
      <w:lvlText w:val="%5."/>
      <w:lvlJc w:val="left"/>
      <w:pPr>
        <w:ind w:left="2883" w:hanging="360"/>
      </w:pPr>
    </w:lvl>
    <w:lvl w:ilvl="5" w:tplc="041F001B" w:tentative="1">
      <w:start w:val="1"/>
      <w:numFmt w:val="lowerRoman"/>
      <w:lvlText w:val="%6."/>
      <w:lvlJc w:val="right"/>
      <w:pPr>
        <w:ind w:left="3603" w:hanging="180"/>
      </w:pPr>
    </w:lvl>
    <w:lvl w:ilvl="6" w:tplc="041F000F" w:tentative="1">
      <w:start w:val="1"/>
      <w:numFmt w:val="decimal"/>
      <w:lvlText w:val="%7."/>
      <w:lvlJc w:val="left"/>
      <w:pPr>
        <w:ind w:left="4323" w:hanging="360"/>
      </w:pPr>
    </w:lvl>
    <w:lvl w:ilvl="7" w:tplc="041F0019" w:tentative="1">
      <w:start w:val="1"/>
      <w:numFmt w:val="lowerLetter"/>
      <w:lvlText w:val="%8."/>
      <w:lvlJc w:val="left"/>
      <w:pPr>
        <w:ind w:left="5043" w:hanging="360"/>
      </w:pPr>
    </w:lvl>
    <w:lvl w:ilvl="8" w:tplc="041F001B" w:tentative="1">
      <w:start w:val="1"/>
      <w:numFmt w:val="lowerRoman"/>
      <w:lvlText w:val="%9."/>
      <w:lvlJc w:val="right"/>
      <w:pPr>
        <w:ind w:left="5763" w:hanging="180"/>
      </w:pPr>
    </w:lvl>
  </w:abstractNum>
  <w:abstractNum w:abstractNumId="4" w15:restartNumberingAfterBreak="0">
    <w:nsid w:val="229736D4"/>
    <w:multiLevelType w:val="hybridMultilevel"/>
    <w:tmpl w:val="2D32390A"/>
    <w:lvl w:ilvl="0" w:tplc="A476CA78">
      <w:numFmt w:val="bullet"/>
      <w:lvlText w:val="-"/>
      <w:lvlJc w:val="left"/>
      <w:pPr>
        <w:ind w:left="178" w:hanging="144"/>
      </w:pPr>
      <w:rPr>
        <w:rFonts w:ascii="Times New Roman" w:eastAsia="Times New Roman" w:hAnsi="Times New Roman" w:cs="Times New Roman" w:hint="default"/>
        <w:b/>
        <w:bCs/>
        <w:w w:val="99"/>
        <w:sz w:val="24"/>
        <w:szCs w:val="24"/>
        <w:lang w:val="tr-TR" w:eastAsia="tr-TR" w:bidi="tr-TR"/>
      </w:rPr>
    </w:lvl>
    <w:lvl w:ilvl="1" w:tplc="08B0AFBC">
      <w:numFmt w:val="bullet"/>
      <w:lvlText w:val="•"/>
      <w:lvlJc w:val="left"/>
      <w:pPr>
        <w:ind w:left="1148" w:hanging="144"/>
      </w:pPr>
      <w:rPr>
        <w:rFonts w:hint="default"/>
        <w:lang w:val="tr-TR" w:eastAsia="tr-TR" w:bidi="tr-TR"/>
      </w:rPr>
    </w:lvl>
    <w:lvl w:ilvl="2" w:tplc="6F602A52">
      <w:numFmt w:val="bullet"/>
      <w:lvlText w:val="•"/>
      <w:lvlJc w:val="left"/>
      <w:pPr>
        <w:ind w:left="2116" w:hanging="144"/>
      </w:pPr>
      <w:rPr>
        <w:rFonts w:hint="default"/>
        <w:lang w:val="tr-TR" w:eastAsia="tr-TR" w:bidi="tr-TR"/>
      </w:rPr>
    </w:lvl>
    <w:lvl w:ilvl="3" w:tplc="04AC90A4">
      <w:numFmt w:val="bullet"/>
      <w:lvlText w:val="•"/>
      <w:lvlJc w:val="left"/>
      <w:pPr>
        <w:ind w:left="3084" w:hanging="144"/>
      </w:pPr>
      <w:rPr>
        <w:rFonts w:hint="default"/>
        <w:lang w:val="tr-TR" w:eastAsia="tr-TR" w:bidi="tr-TR"/>
      </w:rPr>
    </w:lvl>
    <w:lvl w:ilvl="4" w:tplc="8996B5C6">
      <w:numFmt w:val="bullet"/>
      <w:lvlText w:val="•"/>
      <w:lvlJc w:val="left"/>
      <w:pPr>
        <w:ind w:left="4052" w:hanging="144"/>
      </w:pPr>
      <w:rPr>
        <w:rFonts w:hint="default"/>
        <w:lang w:val="tr-TR" w:eastAsia="tr-TR" w:bidi="tr-TR"/>
      </w:rPr>
    </w:lvl>
    <w:lvl w:ilvl="5" w:tplc="012AF6CE">
      <w:numFmt w:val="bullet"/>
      <w:lvlText w:val="•"/>
      <w:lvlJc w:val="left"/>
      <w:pPr>
        <w:ind w:left="5020" w:hanging="144"/>
      </w:pPr>
      <w:rPr>
        <w:rFonts w:hint="default"/>
        <w:lang w:val="tr-TR" w:eastAsia="tr-TR" w:bidi="tr-TR"/>
      </w:rPr>
    </w:lvl>
    <w:lvl w:ilvl="6" w:tplc="E97CB79E">
      <w:numFmt w:val="bullet"/>
      <w:lvlText w:val="•"/>
      <w:lvlJc w:val="left"/>
      <w:pPr>
        <w:ind w:left="5988" w:hanging="144"/>
      </w:pPr>
      <w:rPr>
        <w:rFonts w:hint="default"/>
        <w:lang w:val="tr-TR" w:eastAsia="tr-TR" w:bidi="tr-TR"/>
      </w:rPr>
    </w:lvl>
    <w:lvl w:ilvl="7" w:tplc="D53624AA">
      <w:numFmt w:val="bullet"/>
      <w:lvlText w:val="•"/>
      <w:lvlJc w:val="left"/>
      <w:pPr>
        <w:ind w:left="6957" w:hanging="144"/>
      </w:pPr>
      <w:rPr>
        <w:rFonts w:hint="default"/>
        <w:lang w:val="tr-TR" w:eastAsia="tr-TR" w:bidi="tr-TR"/>
      </w:rPr>
    </w:lvl>
    <w:lvl w:ilvl="8" w:tplc="0D90BB4C">
      <w:numFmt w:val="bullet"/>
      <w:lvlText w:val="•"/>
      <w:lvlJc w:val="left"/>
      <w:pPr>
        <w:ind w:left="7925" w:hanging="144"/>
      </w:pPr>
      <w:rPr>
        <w:rFonts w:hint="default"/>
        <w:lang w:val="tr-TR" w:eastAsia="tr-TR" w:bidi="tr-TR"/>
      </w:rPr>
    </w:lvl>
  </w:abstractNum>
  <w:abstractNum w:abstractNumId="5" w15:restartNumberingAfterBreak="0">
    <w:nsid w:val="2CB015C8"/>
    <w:multiLevelType w:val="hybridMultilevel"/>
    <w:tmpl w:val="9C2E3F9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518F3347"/>
    <w:multiLevelType w:val="hybridMultilevel"/>
    <w:tmpl w:val="E03ABBF8"/>
    <w:lvl w:ilvl="0" w:tplc="A4BC5ACE">
      <w:numFmt w:val="bullet"/>
      <w:lvlText w:val="-"/>
      <w:lvlJc w:val="left"/>
      <w:pPr>
        <w:ind w:left="318" w:hanging="140"/>
      </w:pPr>
      <w:rPr>
        <w:rFonts w:ascii="Times New Roman" w:eastAsia="Times New Roman" w:hAnsi="Times New Roman" w:cs="Times New Roman" w:hint="default"/>
        <w:b/>
        <w:bCs/>
        <w:w w:val="99"/>
        <w:sz w:val="24"/>
        <w:szCs w:val="24"/>
        <w:lang w:val="tr-TR" w:eastAsia="tr-TR" w:bidi="tr-TR"/>
      </w:rPr>
    </w:lvl>
    <w:lvl w:ilvl="1" w:tplc="21923736">
      <w:numFmt w:val="bullet"/>
      <w:lvlText w:val="•"/>
      <w:lvlJc w:val="left"/>
      <w:pPr>
        <w:ind w:left="1274" w:hanging="140"/>
      </w:pPr>
      <w:rPr>
        <w:rFonts w:hint="default"/>
        <w:lang w:val="tr-TR" w:eastAsia="tr-TR" w:bidi="tr-TR"/>
      </w:rPr>
    </w:lvl>
    <w:lvl w:ilvl="2" w:tplc="9970DB0E">
      <w:numFmt w:val="bullet"/>
      <w:lvlText w:val="•"/>
      <w:lvlJc w:val="left"/>
      <w:pPr>
        <w:ind w:left="2228" w:hanging="140"/>
      </w:pPr>
      <w:rPr>
        <w:rFonts w:hint="default"/>
        <w:lang w:val="tr-TR" w:eastAsia="tr-TR" w:bidi="tr-TR"/>
      </w:rPr>
    </w:lvl>
    <w:lvl w:ilvl="3" w:tplc="4014AF64">
      <w:numFmt w:val="bullet"/>
      <w:lvlText w:val="•"/>
      <w:lvlJc w:val="left"/>
      <w:pPr>
        <w:ind w:left="3182" w:hanging="140"/>
      </w:pPr>
      <w:rPr>
        <w:rFonts w:hint="default"/>
        <w:lang w:val="tr-TR" w:eastAsia="tr-TR" w:bidi="tr-TR"/>
      </w:rPr>
    </w:lvl>
    <w:lvl w:ilvl="4" w:tplc="3F249D74">
      <w:numFmt w:val="bullet"/>
      <w:lvlText w:val="•"/>
      <w:lvlJc w:val="left"/>
      <w:pPr>
        <w:ind w:left="4136" w:hanging="140"/>
      </w:pPr>
      <w:rPr>
        <w:rFonts w:hint="default"/>
        <w:lang w:val="tr-TR" w:eastAsia="tr-TR" w:bidi="tr-TR"/>
      </w:rPr>
    </w:lvl>
    <w:lvl w:ilvl="5" w:tplc="DB0616F8">
      <w:numFmt w:val="bullet"/>
      <w:lvlText w:val="•"/>
      <w:lvlJc w:val="left"/>
      <w:pPr>
        <w:ind w:left="5090" w:hanging="140"/>
      </w:pPr>
      <w:rPr>
        <w:rFonts w:hint="default"/>
        <w:lang w:val="tr-TR" w:eastAsia="tr-TR" w:bidi="tr-TR"/>
      </w:rPr>
    </w:lvl>
    <w:lvl w:ilvl="6" w:tplc="8C869620">
      <w:numFmt w:val="bullet"/>
      <w:lvlText w:val="•"/>
      <w:lvlJc w:val="left"/>
      <w:pPr>
        <w:ind w:left="6044" w:hanging="140"/>
      </w:pPr>
      <w:rPr>
        <w:rFonts w:hint="default"/>
        <w:lang w:val="tr-TR" w:eastAsia="tr-TR" w:bidi="tr-TR"/>
      </w:rPr>
    </w:lvl>
    <w:lvl w:ilvl="7" w:tplc="EF6805B4">
      <w:numFmt w:val="bullet"/>
      <w:lvlText w:val="•"/>
      <w:lvlJc w:val="left"/>
      <w:pPr>
        <w:ind w:left="6999" w:hanging="140"/>
      </w:pPr>
      <w:rPr>
        <w:rFonts w:hint="default"/>
        <w:lang w:val="tr-TR" w:eastAsia="tr-TR" w:bidi="tr-TR"/>
      </w:rPr>
    </w:lvl>
    <w:lvl w:ilvl="8" w:tplc="22C433C4">
      <w:numFmt w:val="bullet"/>
      <w:lvlText w:val="•"/>
      <w:lvlJc w:val="left"/>
      <w:pPr>
        <w:ind w:left="7953" w:hanging="140"/>
      </w:pPr>
      <w:rPr>
        <w:rFonts w:hint="default"/>
        <w:lang w:val="tr-TR" w:eastAsia="tr-TR" w:bidi="tr-TR"/>
      </w:rPr>
    </w:lvl>
  </w:abstractNum>
  <w:abstractNum w:abstractNumId="7" w15:restartNumberingAfterBreak="0">
    <w:nsid w:val="59B83515"/>
    <w:multiLevelType w:val="hybridMultilevel"/>
    <w:tmpl w:val="61D00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E74A3D"/>
    <w:multiLevelType w:val="hybridMultilevel"/>
    <w:tmpl w:val="E8F8F186"/>
    <w:lvl w:ilvl="0" w:tplc="E5C2E81A">
      <w:numFmt w:val="bullet"/>
      <w:lvlText w:val="-"/>
      <w:lvlJc w:val="left"/>
      <w:pPr>
        <w:ind w:left="1080" w:hanging="72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9374DD"/>
    <w:multiLevelType w:val="hybridMultilevel"/>
    <w:tmpl w:val="18248ABA"/>
    <w:lvl w:ilvl="0" w:tplc="B7D86DF0">
      <w:start w:val="9"/>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num w:numId="1">
    <w:abstractNumId w:val="4"/>
  </w:num>
  <w:num w:numId="2">
    <w:abstractNumId w:val="0"/>
  </w:num>
  <w:num w:numId="3">
    <w:abstractNumId w:val="6"/>
  </w:num>
  <w:num w:numId="4">
    <w:abstractNumId w:val="3"/>
  </w:num>
  <w:num w:numId="5">
    <w:abstractNumId w:val="1"/>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2"/>
    <w:rsid w:val="0000442C"/>
    <w:rsid w:val="000103A2"/>
    <w:rsid w:val="0001579D"/>
    <w:rsid w:val="00035965"/>
    <w:rsid w:val="00060F6E"/>
    <w:rsid w:val="00081715"/>
    <w:rsid w:val="0009379D"/>
    <w:rsid w:val="000A184E"/>
    <w:rsid w:val="000A5F90"/>
    <w:rsid w:val="000A68E0"/>
    <w:rsid w:val="000B3D65"/>
    <w:rsid w:val="000B598A"/>
    <w:rsid w:val="000C4313"/>
    <w:rsid w:val="000D10C7"/>
    <w:rsid w:val="000D3112"/>
    <w:rsid w:val="000D50BC"/>
    <w:rsid w:val="000F197B"/>
    <w:rsid w:val="00106886"/>
    <w:rsid w:val="00113909"/>
    <w:rsid w:val="00135F60"/>
    <w:rsid w:val="001523EA"/>
    <w:rsid w:val="00180FF3"/>
    <w:rsid w:val="00182A68"/>
    <w:rsid w:val="001A1F42"/>
    <w:rsid w:val="001D3D51"/>
    <w:rsid w:val="001E61E8"/>
    <w:rsid w:val="001F43D8"/>
    <w:rsid w:val="00210CB6"/>
    <w:rsid w:val="00225F3C"/>
    <w:rsid w:val="0024178B"/>
    <w:rsid w:val="00243E6E"/>
    <w:rsid w:val="00246724"/>
    <w:rsid w:val="0026050E"/>
    <w:rsid w:val="002613C2"/>
    <w:rsid w:val="00265FFF"/>
    <w:rsid w:val="00267ED2"/>
    <w:rsid w:val="00271C45"/>
    <w:rsid w:val="00272DF3"/>
    <w:rsid w:val="002842F8"/>
    <w:rsid w:val="002D2257"/>
    <w:rsid w:val="002E1710"/>
    <w:rsid w:val="002E220B"/>
    <w:rsid w:val="003153FC"/>
    <w:rsid w:val="00327ABE"/>
    <w:rsid w:val="00331655"/>
    <w:rsid w:val="00335121"/>
    <w:rsid w:val="00340BA8"/>
    <w:rsid w:val="003511A9"/>
    <w:rsid w:val="00354482"/>
    <w:rsid w:val="00376ABA"/>
    <w:rsid w:val="0038074C"/>
    <w:rsid w:val="0039235A"/>
    <w:rsid w:val="003A43EA"/>
    <w:rsid w:val="003A67CD"/>
    <w:rsid w:val="003B25AB"/>
    <w:rsid w:val="003D205E"/>
    <w:rsid w:val="003D4F66"/>
    <w:rsid w:val="003E1AD2"/>
    <w:rsid w:val="003E4207"/>
    <w:rsid w:val="003E4FCE"/>
    <w:rsid w:val="004127C3"/>
    <w:rsid w:val="0043156E"/>
    <w:rsid w:val="00437186"/>
    <w:rsid w:val="004561C6"/>
    <w:rsid w:val="00476402"/>
    <w:rsid w:val="00476B95"/>
    <w:rsid w:val="004A075B"/>
    <w:rsid w:val="004A36D0"/>
    <w:rsid w:val="004B0675"/>
    <w:rsid w:val="004C57A1"/>
    <w:rsid w:val="004C759A"/>
    <w:rsid w:val="004D269F"/>
    <w:rsid w:val="004D57D4"/>
    <w:rsid w:val="005122CF"/>
    <w:rsid w:val="00514F8B"/>
    <w:rsid w:val="0055164D"/>
    <w:rsid w:val="00562C72"/>
    <w:rsid w:val="00564836"/>
    <w:rsid w:val="00585E37"/>
    <w:rsid w:val="005A51E0"/>
    <w:rsid w:val="005B0FB1"/>
    <w:rsid w:val="005B39E7"/>
    <w:rsid w:val="005B589A"/>
    <w:rsid w:val="005C326E"/>
    <w:rsid w:val="005C6660"/>
    <w:rsid w:val="005D2962"/>
    <w:rsid w:val="005D68DC"/>
    <w:rsid w:val="006002C3"/>
    <w:rsid w:val="00601534"/>
    <w:rsid w:val="006041CE"/>
    <w:rsid w:val="00607004"/>
    <w:rsid w:val="006120BF"/>
    <w:rsid w:val="00627C31"/>
    <w:rsid w:val="00635718"/>
    <w:rsid w:val="00651268"/>
    <w:rsid w:val="006529F2"/>
    <w:rsid w:val="00653A69"/>
    <w:rsid w:val="00653F98"/>
    <w:rsid w:val="0066392C"/>
    <w:rsid w:val="006765BD"/>
    <w:rsid w:val="0068312C"/>
    <w:rsid w:val="00693D1A"/>
    <w:rsid w:val="006A6A73"/>
    <w:rsid w:val="006D300C"/>
    <w:rsid w:val="006D5830"/>
    <w:rsid w:val="006E3BE7"/>
    <w:rsid w:val="006E3C80"/>
    <w:rsid w:val="006F1688"/>
    <w:rsid w:val="006F7113"/>
    <w:rsid w:val="006F7F27"/>
    <w:rsid w:val="00705DB9"/>
    <w:rsid w:val="007117CE"/>
    <w:rsid w:val="007176E9"/>
    <w:rsid w:val="00722C98"/>
    <w:rsid w:val="00731BFA"/>
    <w:rsid w:val="00737B05"/>
    <w:rsid w:val="00747B88"/>
    <w:rsid w:val="00770DCE"/>
    <w:rsid w:val="00771716"/>
    <w:rsid w:val="007B068C"/>
    <w:rsid w:val="007C2F7A"/>
    <w:rsid w:val="007D1CC3"/>
    <w:rsid w:val="007D3762"/>
    <w:rsid w:val="007E37C6"/>
    <w:rsid w:val="007E5EC3"/>
    <w:rsid w:val="0080619E"/>
    <w:rsid w:val="008160EF"/>
    <w:rsid w:val="00825A66"/>
    <w:rsid w:val="008347C6"/>
    <w:rsid w:val="00834FB8"/>
    <w:rsid w:val="00836769"/>
    <w:rsid w:val="008420B4"/>
    <w:rsid w:val="008436AF"/>
    <w:rsid w:val="0085419F"/>
    <w:rsid w:val="008571CA"/>
    <w:rsid w:val="008706BC"/>
    <w:rsid w:val="00871A93"/>
    <w:rsid w:val="00880F7E"/>
    <w:rsid w:val="00881057"/>
    <w:rsid w:val="00882C1C"/>
    <w:rsid w:val="0089115D"/>
    <w:rsid w:val="008A6014"/>
    <w:rsid w:val="008C5D42"/>
    <w:rsid w:val="008D3E45"/>
    <w:rsid w:val="008E4229"/>
    <w:rsid w:val="008E5FBA"/>
    <w:rsid w:val="009038F4"/>
    <w:rsid w:val="0092051A"/>
    <w:rsid w:val="00924711"/>
    <w:rsid w:val="00933B5C"/>
    <w:rsid w:val="00962861"/>
    <w:rsid w:val="009946EF"/>
    <w:rsid w:val="009B02D3"/>
    <w:rsid w:val="009C2732"/>
    <w:rsid w:val="009C5C6E"/>
    <w:rsid w:val="009D5549"/>
    <w:rsid w:val="009D6060"/>
    <w:rsid w:val="009E60CE"/>
    <w:rsid w:val="00A10BEB"/>
    <w:rsid w:val="00A17F15"/>
    <w:rsid w:val="00A20FD4"/>
    <w:rsid w:val="00A32B85"/>
    <w:rsid w:val="00A36BC8"/>
    <w:rsid w:val="00A739D9"/>
    <w:rsid w:val="00A8056B"/>
    <w:rsid w:val="00A80828"/>
    <w:rsid w:val="00A91818"/>
    <w:rsid w:val="00A96C24"/>
    <w:rsid w:val="00AA18B1"/>
    <w:rsid w:val="00AA33CB"/>
    <w:rsid w:val="00AA41E4"/>
    <w:rsid w:val="00AB373A"/>
    <w:rsid w:val="00AB5A2C"/>
    <w:rsid w:val="00AC6338"/>
    <w:rsid w:val="00AD05D2"/>
    <w:rsid w:val="00AD3347"/>
    <w:rsid w:val="00AD6331"/>
    <w:rsid w:val="00AE43A3"/>
    <w:rsid w:val="00B1570F"/>
    <w:rsid w:val="00B36796"/>
    <w:rsid w:val="00B463C2"/>
    <w:rsid w:val="00B87DB1"/>
    <w:rsid w:val="00BB5FAD"/>
    <w:rsid w:val="00BD295E"/>
    <w:rsid w:val="00C036CD"/>
    <w:rsid w:val="00C0614B"/>
    <w:rsid w:val="00C301E7"/>
    <w:rsid w:val="00C30977"/>
    <w:rsid w:val="00C43337"/>
    <w:rsid w:val="00C44339"/>
    <w:rsid w:val="00C530AA"/>
    <w:rsid w:val="00C67EDD"/>
    <w:rsid w:val="00C76CCD"/>
    <w:rsid w:val="00C76F45"/>
    <w:rsid w:val="00C82376"/>
    <w:rsid w:val="00C86033"/>
    <w:rsid w:val="00C97FB1"/>
    <w:rsid w:val="00CA1088"/>
    <w:rsid w:val="00CC0AD2"/>
    <w:rsid w:val="00CD4D10"/>
    <w:rsid w:val="00CD7704"/>
    <w:rsid w:val="00CF2B65"/>
    <w:rsid w:val="00D01C1C"/>
    <w:rsid w:val="00D077C1"/>
    <w:rsid w:val="00D26390"/>
    <w:rsid w:val="00D27270"/>
    <w:rsid w:val="00D310A0"/>
    <w:rsid w:val="00D40F37"/>
    <w:rsid w:val="00D66F4A"/>
    <w:rsid w:val="00D7240B"/>
    <w:rsid w:val="00D74BF0"/>
    <w:rsid w:val="00D81E91"/>
    <w:rsid w:val="00D9330B"/>
    <w:rsid w:val="00DB2D3A"/>
    <w:rsid w:val="00DB5D6C"/>
    <w:rsid w:val="00DC384C"/>
    <w:rsid w:val="00DC7FD3"/>
    <w:rsid w:val="00DD17AF"/>
    <w:rsid w:val="00DD7888"/>
    <w:rsid w:val="00DF19F0"/>
    <w:rsid w:val="00E05F24"/>
    <w:rsid w:val="00E1272C"/>
    <w:rsid w:val="00E16C2C"/>
    <w:rsid w:val="00E63FBC"/>
    <w:rsid w:val="00E72F86"/>
    <w:rsid w:val="00E85206"/>
    <w:rsid w:val="00E9364A"/>
    <w:rsid w:val="00EA14A7"/>
    <w:rsid w:val="00EA6681"/>
    <w:rsid w:val="00EB4839"/>
    <w:rsid w:val="00EC2772"/>
    <w:rsid w:val="00EE0D59"/>
    <w:rsid w:val="00EE2752"/>
    <w:rsid w:val="00EE4131"/>
    <w:rsid w:val="00EE6E61"/>
    <w:rsid w:val="00EE7EA7"/>
    <w:rsid w:val="00EF7B74"/>
    <w:rsid w:val="00F13E8A"/>
    <w:rsid w:val="00F55B4F"/>
    <w:rsid w:val="00F56EE3"/>
    <w:rsid w:val="00F6094F"/>
    <w:rsid w:val="00F632B3"/>
    <w:rsid w:val="00F713F6"/>
    <w:rsid w:val="00F93BF0"/>
    <w:rsid w:val="00FA05FB"/>
    <w:rsid w:val="00FA1ECA"/>
    <w:rsid w:val="00FA2CBA"/>
    <w:rsid w:val="00FB2F91"/>
    <w:rsid w:val="00FC4593"/>
    <w:rsid w:val="00FC7613"/>
    <w:rsid w:val="00FF33E1"/>
    <w:rsid w:val="00FF7317"/>
    <w:rsid w:val="00FF78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32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2" w:hanging="36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462" w:hanging="360"/>
    </w:pPr>
  </w:style>
  <w:style w:type="paragraph" w:customStyle="1" w:styleId="TableParagraph">
    <w:name w:val="Table Paragraph"/>
    <w:basedOn w:val="Normal"/>
    <w:uiPriority w:val="1"/>
    <w:qFormat/>
    <w:pPr>
      <w:jc w:val="center"/>
    </w:pPr>
  </w:style>
  <w:style w:type="table" w:styleId="TabloKlavuzu">
    <w:name w:val="Table Grid"/>
    <w:basedOn w:val="NormalTablo"/>
    <w:uiPriority w:val="39"/>
    <w:rsid w:val="00A36BC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E3C80"/>
  </w:style>
  <w:style w:type="character" w:styleId="Gl">
    <w:name w:val="Strong"/>
    <w:basedOn w:val="VarsaylanParagrafYazTipi"/>
    <w:uiPriority w:val="22"/>
    <w:qFormat/>
    <w:rsid w:val="006E3C80"/>
    <w:rPr>
      <w:b/>
      <w:bCs/>
    </w:rPr>
  </w:style>
  <w:style w:type="paragraph" w:styleId="NormalWeb">
    <w:name w:val="Normal (Web)"/>
    <w:basedOn w:val="Normal"/>
    <w:uiPriority w:val="99"/>
    <w:unhideWhenUsed/>
    <w:rsid w:val="008E5FBA"/>
    <w:pPr>
      <w:widowControl/>
      <w:autoSpaceDE/>
      <w:autoSpaceDN/>
      <w:spacing w:before="100" w:beforeAutospacing="1" w:after="100" w:afterAutospacing="1"/>
    </w:pPr>
    <w:rPr>
      <w:rFonts w:eastAsiaTheme="minorHAnsi"/>
      <w:sz w:val="24"/>
      <w:szCs w:val="24"/>
      <w:lang w:bidi="ar-SA"/>
    </w:rPr>
  </w:style>
  <w:style w:type="character" w:styleId="AklamaBavurusu">
    <w:name w:val="annotation reference"/>
    <w:basedOn w:val="VarsaylanParagrafYazTipi"/>
    <w:uiPriority w:val="99"/>
    <w:semiHidden/>
    <w:unhideWhenUsed/>
    <w:rsid w:val="00BB5FAD"/>
    <w:rPr>
      <w:sz w:val="16"/>
      <w:szCs w:val="16"/>
    </w:rPr>
  </w:style>
  <w:style w:type="paragraph" w:styleId="AklamaMetni">
    <w:name w:val="annotation text"/>
    <w:basedOn w:val="Normal"/>
    <w:link w:val="AklamaMetniChar"/>
    <w:uiPriority w:val="99"/>
    <w:semiHidden/>
    <w:unhideWhenUsed/>
    <w:rsid w:val="00BB5FAD"/>
    <w:rPr>
      <w:sz w:val="20"/>
      <w:szCs w:val="20"/>
    </w:rPr>
  </w:style>
  <w:style w:type="character" w:customStyle="1" w:styleId="AklamaMetniChar">
    <w:name w:val="Açıklama Metni Char"/>
    <w:basedOn w:val="VarsaylanParagrafYazTipi"/>
    <w:link w:val="AklamaMetni"/>
    <w:uiPriority w:val="99"/>
    <w:semiHidden/>
    <w:rsid w:val="00BB5FAD"/>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BB5FAD"/>
    <w:rPr>
      <w:b/>
      <w:bCs/>
    </w:rPr>
  </w:style>
  <w:style w:type="character" w:customStyle="1" w:styleId="AklamaKonusuChar">
    <w:name w:val="Açıklama Konusu Char"/>
    <w:basedOn w:val="AklamaMetniChar"/>
    <w:link w:val="AklamaKonusu"/>
    <w:uiPriority w:val="99"/>
    <w:semiHidden/>
    <w:rsid w:val="00BB5FAD"/>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BB5FA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FAD"/>
    <w:rPr>
      <w:rFonts w:ascii="Segoe UI" w:eastAsia="Times New Roman" w:hAnsi="Segoe UI" w:cs="Segoe UI"/>
      <w:sz w:val="18"/>
      <w:szCs w:val="18"/>
      <w:lang w:val="tr-TR" w:eastAsia="tr-TR" w:bidi="tr-TR"/>
    </w:rPr>
  </w:style>
  <w:style w:type="paragraph" w:styleId="stBilgi">
    <w:name w:val="header"/>
    <w:basedOn w:val="Normal"/>
    <w:link w:val="stBilgiChar"/>
    <w:uiPriority w:val="99"/>
    <w:unhideWhenUsed/>
    <w:rsid w:val="00D01C1C"/>
    <w:pPr>
      <w:tabs>
        <w:tab w:val="center" w:pos="4536"/>
        <w:tab w:val="right" w:pos="9072"/>
      </w:tabs>
    </w:pPr>
  </w:style>
  <w:style w:type="character" w:customStyle="1" w:styleId="stBilgiChar">
    <w:name w:val="Üst Bilgi Char"/>
    <w:basedOn w:val="VarsaylanParagrafYazTipi"/>
    <w:link w:val="stBilgi"/>
    <w:uiPriority w:val="99"/>
    <w:rsid w:val="00D01C1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01C1C"/>
    <w:pPr>
      <w:tabs>
        <w:tab w:val="center" w:pos="4536"/>
        <w:tab w:val="right" w:pos="9072"/>
      </w:tabs>
    </w:pPr>
  </w:style>
  <w:style w:type="character" w:customStyle="1" w:styleId="AltBilgiChar">
    <w:name w:val="Alt Bilgi Char"/>
    <w:basedOn w:val="VarsaylanParagrafYazTipi"/>
    <w:link w:val="AltBilgi"/>
    <w:uiPriority w:val="99"/>
    <w:rsid w:val="00D01C1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6598">
      <w:bodyDiv w:val="1"/>
      <w:marLeft w:val="0"/>
      <w:marRight w:val="0"/>
      <w:marTop w:val="0"/>
      <w:marBottom w:val="0"/>
      <w:divBdr>
        <w:top w:val="none" w:sz="0" w:space="0" w:color="auto"/>
        <w:left w:val="none" w:sz="0" w:space="0" w:color="auto"/>
        <w:bottom w:val="none" w:sz="0" w:space="0" w:color="auto"/>
        <w:right w:val="none" w:sz="0" w:space="0" w:color="auto"/>
      </w:divBdr>
      <w:divsChild>
        <w:div w:id="817113938">
          <w:marLeft w:val="0"/>
          <w:marRight w:val="0"/>
          <w:marTop w:val="0"/>
          <w:marBottom w:val="0"/>
          <w:divBdr>
            <w:top w:val="none" w:sz="0" w:space="0" w:color="auto"/>
            <w:left w:val="none" w:sz="0" w:space="0" w:color="auto"/>
            <w:bottom w:val="none" w:sz="0" w:space="0" w:color="auto"/>
            <w:right w:val="none" w:sz="0" w:space="0" w:color="auto"/>
          </w:divBdr>
          <w:divsChild>
            <w:div w:id="770707788">
              <w:marLeft w:val="0"/>
              <w:marRight w:val="0"/>
              <w:marTop w:val="0"/>
              <w:marBottom w:val="0"/>
              <w:divBdr>
                <w:top w:val="none" w:sz="0" w:space="0" w:color="auto"/>
                <w:left w:val="none" w:sz="0" w:space="0" w:color="auto"/>
                <w:bottom w:val="none" w:sz="0" w:space="0" w:color="auto"/>
                <w:right w:val="none" w:sz="0" w:space="0" w:color="auto"/>
              </w:divBdr>
              <w:divsChild>
                <w:div w:id="14794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775">
      <w:bodyDiv w:val="1"/>
      <w:marLeft w:val="0"/>
      <w:marRight w:val="0"/>
      <w:marTop w:val="0"/>
      <w:marBottom w:val="0"/>
      <w:divBdr>
        <w:top w:val="none" w:sz="0" w:space="0" w:color="auto"/>
        <w:left w:val="none" w:sz="0" w:space="0" w:color="auto"/>
        <w:bottom w:val="none" w:sz="0" w:space="0" w:color="auto"/>
        <w:right w:val="none" w:sz="0" w:space="0" w:color="auto"/>
      </w:divBdr>
    </w:div>
    <w:div w:id="267734985">
      <w:bodyDiv w:val="1"/>
      <w:marLeft w:val="0"/>
      <w:marRight w:val="0"/>
      <w:marTop w:val="0"/>
      <w:marBottom w:val="0"/>
      <w:divBdr>
        <w:top w:val="none" w:sz="0" w:space="0" w:color="auto"/>
        <w:left w:val="none" w:sz="0" w:space="0" w:color="auto"/>
        <w:bottom w:val="none" w:sz="0" w:space="0" w:color="auto"/>
        <w:right w:val="none" w:sz="0" w:space="0" w:color="auto"/>
      </w:divBdr>
      <w:divsChild>
        <w:div w:id="526261160">
          <w:marLeft w:val="0"/>
          <w:marRight w:val="0"/>
          <w:marTop w:val="0"/>
          <w:marBottom w:val="0"/>
          <w:divBdr>
            <w:top w:val="none" w:sz="0" w:space="0" w:color="auto"/>
            <w:left w:val="none" w:sz="0" w:space="0" w:color="auto"/>
            <w:bottom w:val="none" w:sz="0" w:space="0" w:color="auto"/>
            <w:right w:val="none" w:sz="0" w:space="0" w:color="auto"/>
          </w:divBdr>
          <w:divsChild>
            <w:div w:id="2111119900">
              <w:marLeft w:val="0"/>
              <w:marRight w:val="0"/>
              <w:marTop w:val="0"/>
              <w:marBottom w:val="0"/>
              <w:divBdr>
                <w:top w:val="none" w:sz="0" w:space="0" w:color="auto"/>
                <w:left w:val="none" w:sz="0" w:space="0" w:color="auto"/>
                <w:bottom w:val="none" w:sz="0" w:space="0" w:color="auto"/>
                <w:right w:val="none" w:sz="0" w:space="0" w:color="auto"/>
              </w:divBdr>
              <w:divsChild>
                <w:div w:id="10563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6468">
      <w:bodyDiv w:val="1"/>
      <w:marLeft w:val="0"/>
      <w:marRight w:val="0"/>
      <w:marTop w:val="0"/>
      <w:marBottom w:val="0"/>
      <w:divBdr>
        <w:top w:val="none" w:sz="0" w:space="0" w:color="auto"/>
        <w:left w:val="none" w:sz="0" w:space="0" w:color="auto"/>
        <w:bottom w:val="none" w:sz="0" w:space="0" w:color="auto"/>
        <w:right w:val="none" w:sz="0" w:space="0" w:color="auto"/>
      </w:divBdr>
    </w:div>
    <w:div w:id="477919377">
      <w:bodyDiv w:val="1"/>
      <w:marLeft w:val="0"/>
      <w:marRight w:val="0"/>
      <w:marTop w:val="0"/>
      <w:marBottom w:val="0"/>
      <w:divBdr>
        <w:top w:val="none" w:sz="0" w:space="0" w:color="auto"/>
        <w:left w:val="none" w:sz="0" w:space="0" w:color="auto"/>
        <w:bottom w:val="none" w:sz="0" w:space="0" w:color="auto"/>
        <w:right w:val="none" w:sz="0" w:space="0" w:color="auto"/>
      </w:divBdr>
      <w:divsChild>
        <w:div w:id="677275559">
          <w:marLeft w:val="0"/>
          <w:marRight w:val="0"/>
          <w:marTop w:val="0"/>
          <w:marBottom w:val="0"/>
          <w:divBdr>
            <w:top w:val="none" w:sz="0" w:space="0" w:color="auto"/>
            <w:left w:val="none" w:sz="0" w:space="0" w:color="auto"/>
            <w:bottom w:val="none" w:sz="0" w:space="0" w:color="auto"/>
            <w:right w:val="none" w:sz="0" w:space="0" w:color="auto"/>
          </w:divBdr>
          <w:divsChild>
            <w:div w:id="354767955">
              <w:marLeft w:val="0"/>
              <w:marRight w:val="0"/>
              <w:marTop w:val="0"/>
              <w:marBottom w:val="0"/>
              <w:divBdr>
                <w:top w:val="none" w:sz="0" w:space="0" w:color="auto"/>
                <w:left w:val="none" w:sz="0" w:space="0" w:color="auto"/>
                <w:bottom w:val="none" w:sz="0" w:space="0" w:color="auto"/>
                <w:right w:val="none" w:sz="0" w:space="0" w:color="auto"/>
              </w:divBdr>
              <w:divsChild>
                <w:div w:id="20941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8125">
      <w:bodyDiv w:val="1"/>
      <w:marLeft w:val="0"/>
      <w:marRight w:val="0"/>
      <w:marTop w:val="0"/>
      <w:marBottom w:val="0"/>
      <w:divBdr>
        <w:top w:val="none" w:sz="0" w:space="0" w:color="auto"/>
        <w:left w:val="none" w:sz="0" w:space="0" w:color="auto"/>
        <w:bottom w:val="none" w:sz="0" w:space="0" w:color="auto"/>
        <w:right w:val="none" w:sz="0" w:space="0" w:color="auto"/>
      </w:divBdr>
    </w:div>
    <w:div w:id="683632407">
      <w:bodyDiv w:val="1"/>
      <w:marLeft w:val="0"/>
      <w:marRight w:val="0"/>
      <w:marTop w:val="0"/>
      <w:marBottom w:val="0"/>
      <w:divBdr>
        <w:top w:val="none" w:sz="0" w:space="0" w:color="auto"/>
        <w:left w:val="none" w:sz="0" w:space="0" w:color="auto"/>
        <w:bottom w:val="none" w:sz="0" w:space="0" w:color="auto"/>
        <w:right w:val="none" w:sz="0" w:space="0" w:color="auto"/>
      </w:divBdr>
      <w:divsChild>
        <w:div w:id="653535696">
          <w:marLeft w:val="0"/>
          <w:marRight w:val="0"/>
          <w:marTop w:val="0"/>
          <w:marBottom w:val="0"/>
          <w:divBdr>
            <w:top w:val="none" w:sz="0" w:space="0" w:color="auto"/>
            <w:left w:val="none" w:sz="0" w:space="0" w:color="auto"/>
            <w:bottom w:val="none" w:sz="0" w:space="0" w:color="auto"/>
            <w:right w:val="none" w:sz="0" w:space="0" w:color="auto"/>
          </w:divBdr>
          <w:divsChild>
            <w:div w:id="88937601">
              <w:marLeft w:val="0"/>
              <w:marRight w:val="0"/>
              <w:marTop w:val="0"/>
              <w:marBottom w:val="0"/>
              <w:divBdr>
                <w:top w:val="none" w:sz="0" w:space="0" w:color="auto"/>
                <w:left w:val="none" w:sz="0" w:space="0" w:color="auto"/>
                <w:bottom w:val="none" w:sz="0" w:space="0" w:color="auto"/>
                <w:right w:val="none" w:sz="0" w:space="0" w:color="auto"/>
              </w:divBdr>
              <w:divsChild>
                <w:div w:id="20581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015">
      <w:bodyDiv w:val="1"/>
      <w:marLeft w:val="0"/>
      <w:marRight w:val="0"/>
      <w:marTop w:val="0"/>
      <w:marBottom w:val="0"/>
      <w:divBdr>
        <w:top w:val="none" w:sz="0" w:space="0" w:color="auto"/>
        <w:left w:val="none" w:sz="0" w:space="0" w:color="auto"/>
        <w:bottom w:val="none" w:sz="0" w:space="0" w:color="auto"/>
        <w:right w:val="none" w:sz="0" w:space="0" w:color="auto"/>
      </w:divBdr>
      <w:divsChild>
        <w:div w:id="449251016">
          <w:marLeft w:val="0"/>
          <w:marRight w:val="0"/>
          <w:marTop w:val="0"/>
          <w:marBottom w:val="0"/>
          <w:divBdr>
            <w:top w:val="none" w:sz="0" w:space="0" w:color="auto"/>
            <w:left w:val="none" w:sz="0" w:space="0" w:color="auto"/>
            <w:bottom w:val="none" w:sz="0" w:space="0" w:color="auto"/>
            <w:right w:val="none" w:sz="0" w:space="0" w:color="auto"/>
          </w:divBdr>
          <w:divsChild>
            <w:div w:id="1726954444">
              <w:marLeft w:val="0"/>
              <w:marRight w:val="0"/>
              <w:marTop w:val="0"/>
              <w:marBottom w:val="0"/>
              <w:divBdr>
                <w:top w:val="none" w:sz="0" w:space="0" w:color="auto"/>
                <w:left w:val="none" w:sz="0" w:space="0" w:color="auto"/>
                <w:bottom w:val="none" w:sz="0" w:space="0" w:color="auto"/>
                <w:right w:val="none" w:sz="0" w:space="0" w:color="auto"/>
              </w:divBdr>
              <w:divsChild>
                <w:div w:id="7814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6883">
      <w:bodyDiv w:val="1"/>
      <w:marLeft w:val="0"/>
      <w:marRight w:val="0"/>
      <w:marTop w:val="0"/>
      <w:marBottom w:val="0"/>
      <w:divBdr>
        <w:top w:val="none" w:sz="0" w:space="0" w:color="auto"/>
        <w:left w:val="none" w:sz="0" w:space="0" w:color="auto"/>
        <w:bottom w:val="none" w:sz="0" w:space="0" w:color="auto"/>
        <w:right w:val="none" w:sz="0" w:space="0" w:color="auto"/>
      </w:divBdr>
      <w:divsChild>
        <w:div w:id="746683913">
          <w:marLeft w:val="0"/>
          <w:marRight w:val="0"/>
          <w:marTop w:val="0"/>
          <w:marBottom w:val="0"/>
          <w:divBdr>
            <w:top w:val="none" w:sz="0" w:space="0" w:color="auto"/>
            <w:left w:val="none" w:sz="0" w:space="0" w:color="auto"/>
            <w:bottom w:val="none" w:sz="0" w:space="0" w:color="auto"/>
            <w:right w:val="none" w:sz="0" w:space="0" w:color="auto"/>
          </w:divBdr>
          <w:divsChild>
            <w:div w:id="2064020643">
              <w:marLeft w:val="0"/>
              <w:marRight w:val="0"/>
              <w:marTop w:val="0"/>
              <w:marBottom w:val="0"/>
              <w:divBdr>
                <w:top w:val="none" w:sz="0" w:space="0" w:color="auto"/>
                <w:left w:val="none" w:sz="0" w:space="0" w:color="auto"/>
                <w:bottom w:val="none" w:sz="0" w:space="0" w:color="auto"/>
                <w:right w:val="none" w:sz="0" w:space="0" w:color="auto"/>
              </w:divBdr>
              <w:divsChild>
                <w:div w:id="14737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9029">
      <w:bodyDiv w:val="1"/>
      <w:marLeft w:val="0"/>
      <w:marRight w:val="0"/>
      <w:marTop w:val="0"/>
      <w:marBottom w:val="0"/>
      <w:divBdr>
        <w:top w:val="none" w:sz="0" w:space="0" w:color="auto"/>
        <w:left w:val="none" w:sz="0" w:space="0" w:color="auto"/>
        <w:bottom w:val="none" w:sz="0" w:space="0" w:color="auto"/>
        <w:right w:val="none" w:sz="0" w:space="0" w:color="auto"/>
      </w:divBdr>
      <w:divsChild>
        <w:div w:id="16930033">
          <w:marLeft w:val="0"/>
          <w:marRight w:val="0"/>
          <w:marTop w:val="0"/>
          <w:marBottom w:val="0"/>
          <w:divBdr>
            <w:top w:val="none" w:sz="0" w:space="0" w:color="auto"/>
            <w:left w:val="none" w:sz="0" w:space="0" w:color="auto"/>
            <w:bottom w:val="none" w:sz="0" w:space="0" w:color="auto"/>
            <w:right w:val="none" w:sz="0" w:space="0" w:color="auto"/>
          </w:divBdr>
          <w:divsChild>
            <w:div w:id="1287616393">
              <w:marLeft w:val="0"/>
              <w:marRight w:val="0"/>
              <w:marTop w:val="0"/>
              <w:marBottom w:val="0"/>
              <w:divBdr>
                <w:top w:val="none" w:sz="0" w:space="0" w:color="auto"/>
                <w:left w:val="none" w:sz="0" w:space="0" w:color="auto"/>
                <w:bottom w:val="none" w:sz="0" w:space="0" w:color="auto"/>
                <w:right w:val="none" w:sz="0" w:space="0" w:color="auto"/>
              </w:divBdr>
              <w:divsChild>
                <w:div w:id="894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312">
      <w:bodyDiv w:val="1"/>
      <w:marLeft w:val="0"/>
      <w:marRight w:val="0"/>
      <w:marTop w:val="0"/>
      <w:marBottom w:val="0"/>
      <w:divBdr>
        <w:top w:val="none" w:sz="0" w:space="0" w:color="auto"/>
        <w:left w:val="none" w:sz="0" w:space="0" w:color="auto"/>
        <w:bottom w:val="none" w:sz="0" w:space="0" w:color="auto"/>
        <w:right w:val="none" w:sz="0" w:space="0" w:color="auto"/>
      </w:divBdr>
      <w:divsChild>
        <w:div w:id="1657298806">
          <w:marLeft w:val="0"/>
          <w:marRight w:val="0"/>
          <w:marTop w:val="0"/>
          <w:marBottom w:val="0"/>
          <w:divBdr>
            <w:top w:val="none" w:sz="0" w:space="0" w:color="auto"/>
            <w:left w:val="none" w:sz="0" w:space="0" w:color="auto"/>
            <w:bottom w:val="none" w:sz="0" w:space="0" w:color="auto"/>
            <w:right w:val="none" w:sz="0" w:space="0" w:color="auto"/>
          </w:divBdr>
          <w:divsChild>
            <w:div w:id="1188131267">
              <w:marLeft w:val="0"/>
              <w:marRight w:val="0"/>
              <w:marTop w:val="0"/>
              <w:marBottom w:val="0"/>
              <w:divBdr>
                <w:top w:val="none" w:sz="0" w:space="0" w:color="auto"/>
                <w:left w:val="none" w:sz="0" w:space="0" w:color="auto"/>
                <w:bottom w:val="none" w:sz="0" w:space="0" w:color="auto"/>
                <w:right w:val="none" w:sz="0" w:space="0" w:color="auto"/>
              </w:divBdr>
              <w:divsChild>
                <w:div w:id="6873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974">
      <w:bodyDiv w:val="1"/>
      <w:marLeft w:val="0"/>
      <w:marRight w:val="0"/>
      <w:marTop w:val="0"/>
      <w:marBottom w:val="0"/>
      <w:divBdr>
        <w:top w:val="none" w:sz="0" w:space="0" w:color="auto"/>
        <w:left w:val="none" w:sz="0" w:space="0" w:color="auto"/>
        <w:bottom w:val="none" w:sz="0" w:space="0" w:color="auto"/>
        <w:right w:val="none" w:sz="0" w:space="0" w:color="auto"/>
      </w:divBdr>
      <w:divsChild>
        <w:div w:id="1367949592">
          <w:marLeft w:val="0"/>
          <w:marRight w:val="0"/>
          <w:marTop w:val="0"/>
          <w:marBottom w:val="0"/>
          <w:divBdr>
            <w:top w:val="none" w:sz="0" w:space="0" w:color="auto"/>
            <w:left w:val="none" w:sz="0" w:space="0" w:color="auto"/>
            <w:bottom w:val="none" w:sz="0" w:space="0" w:color="auto"/>
            <w:right w:val="none" w:sz="0" w:space="0" w:color="auto"/>
          </w:divBdr>
          <w:divsChild>
            <w:div w:id="1656758476">
              <w:marLeft w:val="0"/>
              <w:marRight w:val="0"/>
              <w:marTop w:val="0"/>
              <w:marBottom w:val="0"/>
              <w:divBdr>
                <w:top w:val="none" w:sz="0" w:space="0" w:color="auto"/>
                <w:left w:val="none" w:sz="0" w:space="0" w:color="auto"/>
                <w:bottom w:val="none" w:sz="0" w:space="0" w:color="auto"/>
                <w:right w:val="none" w:sz="0" w:space="0" w:color="auto"/>
              </w:divBdr>
              <w:divsChild>
                <w:div w:id="1966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60023">
      <w:bodyDiv w:val="1"/>
      <w:marLeft w:val="0"/>
      <w:marRight w:val="0"/>
      <w:marTop w:val="0"/>
      <w:marBottom w:val="0"/>
      <w:divBdr>
        <w:top w:val="none" w:sz="0" w:space="0" w:color="auto"/>
        <w:left w:val="none" w:sz="0" w:space="0" w:color="auto"/>
        <w:bottom w:val="none" w:sz="0" w:space="0" w:color="auto"/>
        <w:right w:val="none" w:sz="0" w:space="0" w:color="auto"/>
      </w:divBdr>
      <w:divsChild>
        <w:div w:id="1020813144">
          <w:marLeft w:val="0"/>
          <w:marRight w:val="0"/>
          <w:marTop w:val="0"/>
          <w:marBottom w:val="0"/>
          <w:divBdr>
            <w:top w:val="none" w:sz="0" w:space="0" w:color="auto"/>
            <w:left w:val="none" w:sz="0" w:space="0" w:color="auto"/>
            <w:bottom w:val="none" w:sz="0" w:space="0" w:color="auto"/>
            <w:right w:val="none" w:sz="0" w:space="0" w:color="auto"/>
          </w:divBdr>
          <w:divsChild>
            <w:div w:id="711658989">
              <w:marLeft w:val="0"/>
              <w:marRight w:val="0"/>
              <w:marTop w:val="0"/>
              <w:marBottom w:val="0"/>
              <w:divBdr>
                <w:top w:val="none" w:sz="0" w:space="0" w:color="auto"/>
                <w:left w:val="none" w:sz="0" w:space="0" w:color="auto"/>
                <w:bottom w:val="none" w:sz="0" w:space="0" w:color="auto"/>
                <w:right w:val="none" w:sz="0" w:space="0" w:color="auto"/>
              </w:divBdr>
              <w:divsChild>
                <w:div w:id="6618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8484">
      <w:bodyDiv w:val="1"/>
      <w:marLeft w:val="0"/>
      <w:marRight w:val="0"/>
      <w:marTop w:val="0"/>
      <w:marBottom w:val="0"/>
      <w:divBdr>
        <w:top w:val="none" w:sz="0" w:space="0" w:color="auto"/>
        <w:left w:val="none" w:sz="0" w:space="0" w:color="auto"/>
        <w:bottom w:val="none" w:sz="0" w:space="0" w:color="auto"/>
        <w:right w:val="none" w:sz="0" w:space="0" w:color="auto"/>
      </w:divBdr>
    </w:div>
    <w:div w:id="1740245970">
      <w:bodyDiv w:val="1"/>
      <w:marLeft w:val="0"/>
      <w:marRight w:val="0"/>
      <w:marTop w:val="0"/>
      <w:marBottom w:val="0"/>
      <w:divBdr>
        <w:top w:val="none" w:sz="0" w:space="0" w:color="auto"/>
        <w:left w:val="none" w:sz="0" w:space="0" w:color="auto"/>
        <w:bottom w:val="none" w:sz="0" w:space="0" w:color="auto"/>
        <w:right w:val="none" w:sz="0" w:space="0" w:color="auto"/>
      </w:divBdr>
      <w:divsChild>
        <w:div w:id="1280838489">
          <w:marLeft w:val="0"/>
          <w:marRight w:val="0"/>
          <w:marTop w:val="0"/>
          <w:marBottom w:val="0"/>
          <w:divBdr>
            <w:top w:val="none" w:sz="0" w:space="0" w:color="auto"/>
            <w:left w:val="none" w:sz="0" w:space="0" w:color="auto"/>
            <w:bottom w:val="none" w:sz="0" w:space="0" w:color="auto"/>
            <w:right w:val="none" w:sz="0" w:space="0" w:color="auto"/>
          </w:divBdr>
          <w:divsChild>
            <w:div w:id="1815444154">
              <w:marLeft w:val="0"/>
              <w:marRight w:val="0"/>
              <w:marTop w:val="0"/>
              <w:marBottom w:val="0"/>
              <w:divBdr>
                <w:top w:val="none" w:sz="0" w:space="0" w:color="auto"/>
                <w:left w:val="none" w:sz="0" w:space="0" w:color="auto"/>
                <w:bottom w:val="none" w:sz="0" w:space="0" w:color="auto"/>
                <w:right w:val="none" w:sz="0" w:space="0" w:color="auto"/>
              </w:divBdr>
              <w:divsChild>
                <w:div w:id="202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edaerdal\Downloads\Program%20Say&#305;s&#305;YO&#776;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edaerdal\Downloads\Program%20Say&#305;s&#305;YO&#776;K.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tr-TR" b="1">
                <a:solidFill>
                  <a:schemeClr val="tx1"/>
                </a:solidFill>
              </a:rPr>
              <a:t>Yerleşme</a:t>
            </a:r>
            <a:r>
              <a:rPr lang="tr-TR" b="1" baseline="0">
                <a:solidFill>
                  <a:schemeClr val="tx1"/>
                </a:solidFill>
              </a:rPr>
              <a:t> Sayıları</a:t>
            </a:r>
            <a:endParaRPr lang="tr-TR"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lumMod val="75000"/>
              </a:schemeClr>
            </a:solidFill>
            <a:ln>
              <a:noFill/>
            </a:ln>
            <a:effectLst/>
            <a:scene3d>
              <a:camera prst="orthographicFront"/>
              <a:lightRig rig="threePt" dir="t"/>
            </a:scene3d>
            <a:sp3d>
              <a:bevelT w="27305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Sayfa2!$F$5:$F$8</c:f>
              <c:numCache>
                <c:formatCode>General</c:formatCode>
                <c:ptCount val="4"/>
                <c:pt idx="0">
                  <c:v>2017</c:v>
                </c:pt>
                <c:pt idx="1">
                  <c:v>2018</c:v>
                </c:pt>
                <c:pt idx="2">
                  <c:v>2019</c:v>
                </c:pt>
                <c:pt idx="3">
                  <c:v>2020</c:v>
                </c:pt>
              </c:numCache>
            </c:numRef>
          </c:cat>
          <c:val>
            <c:numRef>
              <c:f>Sayfa2!$G$5:$G$8</c:f>
              <c:numCache>
                <c:formatCode>#,##0</c:formatCode>
                <c:ptCount val="4"/>
                <c:pt idx="0">
                  <c:v>696288</c:v>
                </c:pt>
                <c:pt idx="1">
                  <c:v>710982</c:v>
                </c:pt>
                <c:pt idx="2">
                  <c:v>753461</c:v>
                </c:pt>
                <c:pt idx="3">
                  <c:v>781165</c:v>
                </c:pt>
              </c:numCache>
            </c:numRef>
          </c:val>
          <c:extLst>
            <c:ext xmlns:c16="http://schemas.microsoft.com/office/drawing/2014/chart" uri="{C3380CC4-5D6E-409C-BE32-E72D297353CC}">
              <c16:uniqueId val="{00000000-7241-49ED-9460-93F16A6E725D}"/>
            </c:ext>
          </c:extLst>
        </c:ser>
        <c:dLbls>
          <c:showLegendKey val="0"/>
          <c:showVal val="0"/>
          <c:showCatName val="0"/>
          <c:showSerName val="0"/>
          <c:showPercent val="0"/>
          <c:showBubbleSize val="0"/>
        </c:dLbls>
        <c:gapWidth val="225"/>
        <c:overlap val="-1"/>
        <c:axId val="-2055003904"/>
        <c:axId val="-2074896480"/>
      </c:barChart>
      <c:catAx>
        <c:axId val="-205500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2074896480"/>
        <c:crosses val="autoZero"/>
        <c:auto val="1"/>
        <c:lblAlgn val="ctr"/>
        <c:lblOffset val="100"/>
        <c:noMultiLvlLbl val="0"/>
      </c:catAx>
      <c:valAx>
        <c:axId val="-2074896480"/>
        <c:scaling>
          <c:orientation val="minMax"/>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2055003904"/>
        <c:crosses val="autoZero"/>
        <c:crossBetween val="between"/>
      </c:valAx>
      <c:spPr>
        <a:noFill/>
        <a:ln>
          <a:noFill/>
        </a:ln>
        <a:effectLst/>
      </c:spPr>
    </c:plotArea>
    <c:plotVisOnly val="1"/>
    <c:dispBlanksAs val="gap"/>
    <c:showDLblsOverMax val="0"/>
  </c:chart>
  <c:spPr>
    <a:solidFill>
      <a:schemeClr val="bg1">
        <a:lumMod val="75000"/>
      </a:schemeClr>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Sayfa3!$F$5</c:f>
              <c:strCache>
                <c:ptCount val="1"/>
                <c:pt idx="0">
                  <c:v>Kontenjan</c:v>
                </c:pt>
              </c:strCache>
            </c:strRef>
          </c:tx>
          <c:spPr>
            <a:solidFill>
              <a:schemeClr val="accent1"/>
            </a:solidFill>
            <a:ln>
              <a:noFill/>
            </a:ln>
            <a:effectLst/>
            <a:scene3d>
              <a:camera prst="orthographicFront"/>
              <a:lightRig rig="threePt" dir="t"/>
            </a:scene3d>
            <a:sp3d>
              <a:bevelT w="17145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Sayfa3!$E$6:$E$9</c:f>
              <c:numCache>
                <c:formatCode>General</c:formatCode>
                <c:ptCount val="4"/>
                <c:pt idx="0">
                  <c:v>2017</c:v>
                </c:pt>
                <c:pt idx="1">
                  <c:v>2018</c:v>
                </c:pt>
                <c:pt idx="2">
                  <c:v>2019</c:v>
                </c:pt>
                <c:pt idx="3">
                  <c:v>2020</c:v>
                </c:pt>
              </c:numCache>
            </c:numRef>
          </c:cat>
          <c:val>
            <c:numRef>
              <c:f>Sayfa3!$F$6:$F$9</c:f>
              <c:numCache>
                <c:formatCode>#,##0</c:formatCode>
                <c:ptCount val="4"/>
                <c:pt idx="0">
                  <c:v>910671</c:v>
                </c:pt>
                <c:pt idx="1">
                  <c:v>839490</c:v>
                </c:pt>
                <c:pt idx="2">
                  <c:v>824694</c:v>
                </c:pt>
                <c:pt idx="3">
                  <c:v>838221</c:v>
                </c:pt>
              </c:numCache>
            </c:numRef>
          </c:val>
          <c:extLst>
            <c:ext xmlns:c16="http://schemas.microsoft.com/office/drawing/2014/chart" uri="{C3380CC4-5D6E-409C-BE32-E72D297353CC}">
              <c16:uniqueId val="{00000000-A9BD-4960-A67E-9F20029620B2}"/>
            </c:ext>
          </c:extLst>
        </c:ser>
        <c:ser>
          <c:idx val="1"/>
          <c:order val="1"/>
          <c:tx>
            <c:strRef>
              <c:f>Sayfa3!$G$5</c:f>
              <c:strCache>
                <c:ptCount val="1"/>
                <c:pt idx="0">
                  <c:v>Yerleşen</c:v>
                </c:pt>
              </c:strCache>
            </c:strRef>
          </c:tx>
          <c:spPr>
            <a:solidFill>
              <a:schemeClr val="accent6">
                <a:lumMod val="750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Sayfa3!$E$6:$E$9</c:f>
              <c:numCache>
                <c:formatCode>General</c:formatCode>
                <c:ptCount val="4"/>
                <c:pt idx="0">
                  <c:v>2017</c:v>
                </c:pt>
                <c:pt idx="1">
                  <c:v>2018</c:v>
                </c:pt>
                <c:pt idx="2">
                  <c:v>2019</c:v>
                </c:pt>
                <c:pt idx="3">
                  <c:v>2020</c:v>
                </c:pt>
              </c:numCache>
            </c:numRef>
          </c:cat>
          <c:val>
            <c:numRef>
              <c:f>Sayfa3!$G$6:$G$9</c:f>
              <c:numCache>
                <c:formatCode>#,##0</c:formatCode>
                <c:ptCount val="4"/>
                <c:pt idx="0">
                  <c:v>696288</c:v>
                </c:pt>
                <c:pt idx="1">
                  <c:v>710982</c:v>
                </c:pt>
                <c:pt idx="2">
                  <c:v>753461</c:v>
                </c:pt>
                <c:pt idx="3">
                  <c:v>781165</c:v>
                </c:pt>
              </c:numCache>
            </c:numRef>
          </c:val>
          <c:extLst>
            <c:ext xmlns:c16="http://schemas.microsoft.com/office/drawing/2014/chart" uri="{C3380CC4-5D6E-409C-BE32-E72D297353CC}">
              <c16:uniqueId val="{00000001-A9BD-4960-A67E-9F20029620B2}"/>
            </c:ext>
          </c:extLst>
        </c:ser>
        <c:dLbls>
          <c:showLegendKey val="0"/>
          <c:showVal val="0"/>
          <c:showCatName val="0"/>
          <c:showSerName val="0"/>
          <c:showPercent val="0"/>
          <c:showBubbleSize val="0"/>
        </c:dLbls>
        <c:gapWidth val="88"/>
        <c:overlap val="-27"/>
        <c:axId val="1793048208"/>
        <c:axId val="-2101197744"/>
      </c:barChart>
      <c:catAx>
        <c:axId val="179304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01197744"/>
        <c:crosses val="autoZero"/>
        <c:auto val="1"/>
        <c:lblAlgn val="ctr"/>
        <c:lblOffset val="100"/>
        <c:noMultiLvlLbl val="0"/>
      </c:catAx>
      <c:valAx>
        <c:axId val="-210119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93048208"/>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0.21213</cdr:x>
      <cdr:y>0.20275</cdr:y>
    </cdr:from>
    <cdr:to>
      <cdr:x>0.96744</cdr:x>
      <cdr:y>0.27524</cdr:y>
    </cdr:to>
    <cdr:cxnSp macro="">
      <cdr:nvCxnSpPr>
        <cdr:cNvPr id="3" name="Düz Bağlayıcı 2"/>
        <cdr:cNvCxnSpPr/>
      </cdr:nvCxnSpPr>
      <cdr:spPr>
        <a:xfrm xmlns:a="http://schemas.openxmlformats.org/drawingml/2006/main" flipV="1">
          <a:off x="1020082" y="639354"/>
          <a:ext cx="3632200" cy="228600"/>
        </a:xfrm>
        <a:prstGeom xmlns:a="http://schemas.openxmlformats.org/drawingml/2006/main" prst="line">
          <a:avLst/>
        </a:prstGeom>
        <a:ln xmlns:a="http://schemas.openxmlformats.org/drawingml/2006/main" w="15875">
          <a:solidFill>
            <a:srgbClr val="C00000">
              <a:alpha val="95000"/>
            </a:srgb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C0954-6B97-4C01-8D3D-01CC5FD211BE}">
  <ds:schemaRefs>
    <ds:schemaRef ds:uri="http://schemas.openxmlformats.org/officeDocument/2006/bibliography"/>
  </ds:schemaRefs>
</ds:datastoreItem>
</file>

<file path=customXml/itemProps2.xml><?xml version="1.0" encoding="utf-8"?>
<ds:datastoreItem xmlns:ds="http://schemas.openxmlformats.org/officeDocument/2006/customXml" ds:itemID="{DB624D82-7EFB-418C-8379-D8F046FDE241}"/>
</file>

<file path=customXml/itemProps3.xml><?xml version="1.0" encoding="utf-8"?>
<ds:datastoreItem xmlns:ds="http://schemas.openxmlformats.org/officeDocument/2006/customXml" ds:itemID="{52DD822E-F589-402C-8060-DD3E69389A56}"/>
</file>

<file path=customXml/itemProps4.xml><?xml version="1.0" encoding="utf-8"?>
<ds:datastoreItem xmlns:ds="http://schemas.openxmlformats.org/officeDocument/2006/customXml" ds:itemID="{D777E2F6-B4ED-45B3-9328-46406FBFC070}"/>
</file>

<file path=docProps/app.xml><?xml version="1.0" encoding="utf-8"?>
<Properties xmlns="http://schemas.openxmlformats.org/officeDocument/2006/extended-properties" xmlns:vt="http://schemas.openxmlformats.org/officeDocument/2006/docPropsVTypes">
  <Template>Normal</Template>
  <TotalTime>0</TotalTime>
  <Pages>13</Pages>
  <Words>3981</Words>
  <Characters>22692</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Kullanıcısı</dc:creator>
  <cp:lastModifiedBy>MEHMET OZER</cp:lastModifiedBy>
  <cp:revision>2</cp:revision>
  <cp:lastPrinted>2020-08-26T09:09:00Z</cp:lastPrinted>
  <dcterms:created xsi:type="dcterms:W3CDTF">2020-08-26T11:38:00Z</dcterms:created>
  <dcterms:modified xsi:type="dcterms:W3CDTF">2020-08-26T11:38:00Z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2016</vt:lpwstr>
  </property>
  <property fmtid="{D5CDD505-2E9C-101B-9397-08002B2CF9AE}" pid="4" name="LastSaved">
    <vt:filetime>2019-08-08T00:00:00Z</vt:filetime>
  </property>
  <property fmtid="{D5CDD505-2E9C-101B-9397-08002B2CF9AE}" pid="5" name="ContentTypeId">
    <vt:lpwstr>0x010100653C79649D030541A6AF5E6C19F8B513</vt:lpwstr>
  </property>
</Properties>
</file>